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7DEE" w14:textId="77777777" w:rsidR="00AC22AF" w:rsidRDefault="00AC22AF" w:rsidP="003D7477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caps/>
          <w:sz w:val="22"/>
          <w:szCs w:val="22"/>
          <w:u w:val="words"/>
        </w:rPr>
      </w:pPr>
    </w:p>
    <w:p w14:paraId="1DCC189C" w14:textId="77777777" w:rsidR="00A360E5" w:rsidRPr="00AC2B39" w:rsidRDefault="00A360E5" w:rsidP="003D7477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caps/>
          <w:sz w:val="22"/>
          <w:szCs w:val="22"/>
          <w:u w:val="words"/>
        </w:rPr>
      </w:pPr>
      <w:r w:rsidRPr="00AC2B39">
        <w:rPr>
          <w:rFonts w:ascii="Arial" w:hAnsi="Arial" w:cs="Arial"/>
          <w:b/>
          <w:bCs/>
          <w:caps/>
          <w:sz w:val="22"/>
          <w:szCs w:val="22"/>
          <w:u w:val="words"/>
        </w:rPr>
        <w:t>Índice</w:t>
      </w:r>
    </w:p>
    <w:p w14:paraId="39D8E9F8" w14:textId="77777777" w:rsidR="00A360E5" w:rsidRPr="00AC2B39" w:rsidRDefault="00A360E5" w:rsidP="00A13F6E">
      <w:pPr>
        <w:pStyle w:val="OGPRC"/>
        <w:jc w:val="both"/>
        <w:rPr>
          <w:rFonts w:ascii="Arial" w:hAnsi="Arial" w:cs="Arial"/>
          <w:sz w:val="22"/>
          <w:szCs w:val="22"/>
        </w:rPr>
      </w:pPr>
    </w:p>
    <w:p w14:paraId="422DF15F" w14:textId="2511C4B0" w:rsidR="00B62959" w:rsidRDefault="00A360E5">
      <w:pPr>
        <w:pStyle w:val="Sumrio1"/>
        <w:tabs>
          <w:tab w:val="left" w:pos="482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val="pt-BR"/>
          <w14:ligatures w14:val="standardContextual"/>
        </w:rPr>
      </w:pPr>
      <w:r w:rsidRPr="004B00DF">
        <w:rPr>
          <w:rStyle w:val="Hyperlink"/>
          <w:noProof/>
          <w:sz w:val="22"/>
          <w:szCs w:val="22"/>
        </w:rPr>
        <w:fldChar w:fldCharType="begin"/>
      </w:r>
      <w:r w:rsidRPr="004B00DF">
        <w:rPr>
          <w:rStyle w:val="Hyperlink"/>
          <w:noProof/>
          <w:sz w:val="22"/>
          <w:szCs w:val="22"/>
        </w:rPr>
        <w:instrText xml:space="preserve"> TOC \o "1-3" \h \z </w:instrText>
      </w:r>
      <w:r w:rsidRPr="004B00DF">
        <w:rPr>
          <w:rStyle w:val="Hyperlink"/>
          <w:noProof/>
          <w:sz w:val="22"/>
          <w:szCs w:val="22"/>
        </w:rPr>
        <w:fldChar w:fldCharType="separate"/>
      </w:r>
      <w:hyperlink w:anchor="_Toc152678297" w:history="1">
        <w:r w:rsidR="00B62959" w:rsidRPr="00647F90">
          <w:rPr>
            <w:rStyle w:val="Hyperlink"/>
            <w:rFonts w:cs="Arial"/>
            <w:noProof/>
          </w:rPr>
          <w:t>1.</w:t>
        </w:r>
        <w:r w:rsidR="00B62959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val="pt-BR"/>
            <w14:ligatures w14:val="standardContextual"/>
          </w:rPr>
          <w:tab/>
        </w:r>
        <w:r w:rsidR="00B62959" w:rsidRPr="00647F90">
          <w:rPr>
            <w:rStyle w:val="Hyperlink"/>
            <w:rFonts w:cs="Arial"/>
            <w:noProof/>
          </w:rPr>
          <w:t>Objetivo</w:t>
        </w:r>
        <w:r w:rsidR="00B62959">
          <w:rPr>
            <w:noProof/>
            <w:webHidden/>
          </w:rPr>
          <w:tab/>
        </w:r>
        <w:r w:rsidR="00B62959">
          <w:rPr>
            <w:noProof/>
            <w:webHidden/>
          </w:rPr>
          <w:fldChar w:fldCharType="begin"/>
        </w:r>
        <w:r w:rsidR="00B62959">
          <w:rPr>
            <w:noProof/>
            <w:webHidden/>
          </w:rPr>
          <w:instrText xml:space="preserve"> PAGEREF _Toc152678297 \h </w:instrText>
        </w:r>
        <w:r w:rsidR="00B62959">
          <w:rPr>
            <w:noProof/>
            <w:webHidden/>
          </w:rPr>
        </w:r>
        <w:r w:rsidR="00B62959">
          <w:rPr>
            <w:noProof/>
            <w:webHidden/>
          </w:rPr>
          <w:fldChar w:fldCharType="separate"/>
        </w:r>
        <w:r w:rsidR="00B62959">
          <w:rPr>
            <w:noProof/>
            <w:webHidden/>
          </w:rPr>
          <w:t>2</w:t>
        </w:r>
        <w:r w:rsidR="00B62959">
          <w:rPr>
            <w:noProof/>
            <w:webHidden/>
          </w:rPr>
          <w:fldChar w:fldCharType="end"/>
        </w:r>
      </w:hyperlink>
    </w:p>
    <w:p w14:paraId="7791A3CC" w14:textId="3934A93B" w:rsidR="00B62959" w:rsidRDefault="00B62959">
      <w:pPr>
        <w:pStyle w:val="Sumrio1"/>
        <w:tabs>
          <w:tab w:val="left" w:pos="482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val="pt-BR"/>
          <w14:ligatures w14:val="standardContextual"/>
        </w:rPr>
      </w:pPr>
      <w:hyperlink w:anchor="_Toc152678298" w:history="1">
        <w:r w:rsidRPr="00647F90">
          <w:rPr>
            <w:rStyle w:val="Hyperlink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val="pt-BR"/>
            <w14:ligatures w14:val="standardContextual"/>
          </w:rPr>
          <w:tab/>
        </w:r>
        <w:r w:rsidRPr="00647F90">
          <w:rPr>
            <w:rStyle w:val="Hyperlink"/>
            <w:rFonts w:cs="Arial"/>
            <w:noProof/>
          </w:rPr>
          <w:t>Aplicaciones y Áreas Involucradas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_Toc152678298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945C498" w14:textId="0D95BB68" w:rsidR="00B62959" w:rsidRDefault="00B62959">
      <w:pPr>
        <w:pStyle w:val="Sumrio1"/>
        <w:tabs>
          <w:tab w:val="left" w:pos="482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val="pt-BR"/>
          <w14:ligatures w14:val="standardContextual"/>
        </w:rPr>
      </w:pPr>
      <w:hyperlink w:anchor="_Toc152678299" w:history="1">
        <w:r w:rsidRPr="00647F90">
          <w:rPr>
            <w:rStyle w:val="Hyperlink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val="pt-BR"/>
            <w14:ligatures w14:val="standardContextual"/>
          </w:rPr>
          <w:tab/>
        </w:r>
        <w:r w:rsidRPr="00647F90">
          <w:rPr>
            <w:rStyle w:val="Hyperlink"/>
            <w:rFonts w:cs="Arial"/>
            <w:noProof/>
          </w:rPr>
          <w:t>Definiciones y Premisas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_Toc152678299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493BBE1" w14:textId="7C06BF87" w:rsidR="00B62959" w:rsidRDefault="00B62959">
      <w:pPr>
        <w:pStyle w:val="Sumrio2"/>
        <w:tabs>
          <w:tab w:val="left" w:pos="1200"/>
        </w:tabs>
        <w:rPr>
          <w:rFonts w:asciiTheme="minorHAnsi" w:eastAsiaTheme="minorEastAsia" w:hAnsiTheme="minorHAnsi" w:cstheme="minorBidi"/>
          <w:i w:val="0"/>
          <w:noProof/>
          <w:kern w:val="2"/>
          <w:szCs w:val="22"/>
          <w:lang w:val="pt-BR"/>
          <w14:ligatures w14:val="standardContextual"/>
        </w:rPr>
      </w:pPr>
      <w:hyperlink w:anchor="_Toc152678300" w:history="1">
        <w:r w:rsidRPr="00647F90">
          <w:rPr>
            <w:rStyle w:val="Hyperlink"/>
            <w:noProof/>
          </w:rPr>
          <w:t>3.1.</w:t>
        </w:r>
        <w:r>
          <w:rPr>
            <w:rFonts w:asciiTheme="minorHAnsi" w:eastAsiaTheme="minorEastAsia" w:hAnsiTheme="minorHAnsi" w:cstheme="minorBidi"/>
            <w:i w:val="0"/>
            <w:noProof/>
            <w:kern w:val="2"/>
            <w:szCs w:val="22"/>
            <w:lang w:val="pt-BR"/>
            <w14:ligatures w14:val="standardContextual"/>
          </w:rPr>
          <w:tab/>
        </w:r>
        <w:r w:rsidRPr="00647F90">
          <w:rPr>
            <w:rStyle w:val="Hyperlink"/>
            <w:noProof/>
          </w:rPr>
          <w:t>Premisa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_Toc152678300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29B9D93" w14:textId="5E450241" w:rsidR="00B62959" w:rsidRDefault="00B62959">
      <w:pPr>
        <w:pStyle w:val="Sumrio2"/>
        <w:rPr>
          <w:rFonts w:asciiTheme="minorHAnsi" w:eastAsiaTheme="minorEastAsia" w:hAnsiTheme="minorHAnsi" w:cstheme="minorBidi"/>
          <w:i w:val="0"/>
          <w:noProof/>
          <w:kern w:val="2"/>
          <w:szCs w:val="22"/>
          <w:lang w:val="pt-BR"/>
          <w14:ligatures w14:val="standardContextual"/>
        </w:rPr>
      </w:pPr>
      <w:hyperlink w:anchor="_Toc152678301" w:history="1">
        <w:r w:rsidRPr="00647F90">
          <w:rPr>
            <w:rStyle w:val="Hyperlink"/>
            <w:noProof/>
          </w:rPr>
          <w:t>3.2. Definiciones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_Toc152678301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6F8ED8B" w14:textId="061A47CF" w:rsidR="00B62959" w:rsidRDefault="00B62959">
      <w:pPr>
        <w:pStyle w:val="Sumrio1"/>
        <w:tabs>
          <w:tab w:val="left" w:pos="482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val="pt-BR"/>
          <w14:ligatures w14:val="standardContextual"/>
        </w:rPr>
      </w:pPr>
      <w:hyperlink w:anchor="_Toc152678302" w:history="1">
        <w:r w:rsidRPr="00647F90">
          <w:rPr>
            <w:rStyle w:val="Hyperlink"/>
            <w:rFonts w:cs="Arial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val="pt-BR"/>
            <w14:ligatures w14:val="standardContextual"/>
          </w:rPr>
          <w:tab/>
        </w:r>
        <w:r w:rsidRPr="00647F90">
          <w:rPr>
            <w:rStyle w:val="Hyperlink"/>
            <w:rFonts w:cs="Arial"/>
            <w:noProof/>
          </w:rPr>
          <w:t>Responsabilidad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_Toc152678302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6BD9882" w14:textId="4994A9E0" w:rsidR="00B62959" w:rsidRDefault="00B62959">
      <w:pPr>
        <w:pStyle w:val="Sumrio1"/>
        <w:tabs>
          <w:tab w:val="left" w:pos="482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val="pt-BR"/>
          <w14:ligatures w14:val="standardContextual"/>
        </w:rPr>
      </w:pPr>
      <w:hyperlink w:anchor="_Toc152678303" w:history="1">
        <w:r w:rsidRPr="00647F90">
          <w:rPr>
            <w:rStyle w:val="Hyperlink"/>
            <w:rFonts w:cs="Arial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val="pt-BR"/>
            <w14:ligatures w14:val="standardContextual"/>
          </w:rPr>
          <w:tab/>
        </w:r>
        <w:r w:rsidRPr="00647F90">
          <w:rPr>
            <w:rStyle w:val="Hyperlink"/>
            <w:rFonts w:cs="Arial"/>
            <w:noProof/>
          </w:rPr>
          <w:t>Descripción de la Política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_Toc152678303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9070BF" w14:textId="34B653E1" w:rsidR="00B62959" w:rsidRDefault="00B62959">
      <w:pPr>
        <w:pStyle w:val="Sumrio2"/>
        <w:rPr>
          <w:rFonts w:asciiTheme="minorHAnsi" w:eastAsiaTheme="minorEastAsia" w:hAnsiTheme="minorHAnsi" w:cstheme="minorBidi"/>
          <w:i w:val="0"/>
          <w:noProof/>
          <w:kern w:val="2"/>
          <w:szCs w:val="22"/>
          <w:lang w:val="pt-BR"/>
          <w14:ligatures w14:val="standardContextual"/>
        </w:rPr>
      </w:pPr>
      <w:hyperlink w:anchor="_Toc152678304" w:history="1">
        <w:r w:rsidRPr="00647F90">
          <w:rPr>
            <w:rStyle w:val="Hyperlink"/>
            <w:noProof/>
          </w:rPr>
          <w:t>5.1. Directrices de Seguridad y Salud en el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_Toc152678304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4207BB" w14:textId="1D3DEDFB" w:rsidR="00B62959" w:rsidRDefault="00B62959">
      <w:pPr>
        <w:pStyle w:val="Sumrio1"/>
        <w:tabs>
          <w:tab w:val="left" w:pos="482"/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val="pt-BR"/>
          <w14:ligatures w14:val="standardContextual"/>
        </w:rPr>
      </w:pPr>
      <w:hyperlink w:anchor="_Toc152678305" w:history="1">
        <w:r w:rsidRPr="00647F90">
          <w:rPr>
            <w:rStyle w:val="Hyperlink"/>
            <w:rFonts w:cs="Arial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val="pt-BR"/>
            <w14:ligatures w14:val="standardContextual"/>
          </w:rPr>
          <w:tab/>
        </w:r>
        <w:r w:rsidRPr="00647F90">
          <w:rPr>
            <w:rStyle w:val="Hyperlink"/>
            <w:rFonts w:cs="Arial"/>
            <w:noProof/>
          </w:rPr>
          <w:t>Referencia a otros documentos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_Toc152678305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5349E31" w14:textId="522F818D" w:rsidR="00A360E5" w:rsidRDefault="00A360E5" w:rsidP="004B00DF">
      <w:pPr>
        <w:pStyle w:val="Sumrio1"/>
        <w:tabs>
          <w:tab w:val="left" w:pos="482"/>
          <w:tab w:val="right" w:leader="dot" w:pos="10195"/>
        </w:tabs>
        <w:jc w:val="both"/>
        <w:rPr>
          <w:rStyle w:val="Hyperlink"/>
          <w:noProof/>
          <w:sz w:val="22"/>
          <w:szCs w:val="22"/>
        </w:rPr>
      </w:pPr>
      <w:r w:rsidRPr="004B00DF">
        <w:rPr>
          <w:rStyle w:val="Hyperlink"/>
          <w:noProof/>
          <w:sz w:val="22"/>
          <w:szCs w:val="22"/>
        </w:rPr>
        <w:fldChar w:fldCharType="end"/>
      </w:r>
    </w:p>
    <w:p w14:paraId="1EA576F9" w14:textId="77777777" w:rsidR="00CC7883" w:rsidRDefault="00CC7883" w:rsidP="00CC7883"/>
    <w:p w14:paraId="4CD1F8A3" w14:textId="77777777" w:rsidR="00CC7883" w:rsidRDefault="00CC7883" w:rsidP="00CC7883"/>
    <w:p w14:paraId="2E3C5850" w14:textId="77777777" w:rsidR="00CC7883" w:rsidRDefault="00CC7883" w:rsidP="00CC7883"/>
    <w:p w14:paraId="5C14B965" w14:textId="77777777" w:rsidR="00CC7883" w:rsidRDefault="00CC7883" w:rsidP="00CC7883"/>
    <w:p w14:paraId="22194AB5" w14:textId="77777777" w:rsidR="00CC7883" w:rsidRDefault="00CC7883" w:rsidP="00CC7883"/>
    <w:p w14:paraId="3F53D4A0" w14:textId="77777777" w:rsidR="00CC7883" w:rsidRDefault="00CC7883" w:rsidP="00CC7883"/>
    <w:p w14:paraId="0E10D3EC" w14:textId="77777777" w:rsidR="00CC7883" w:rsidRDefault="00CC7883" w:rsidP="00CC7883"/>
    <w:p w14:paraId="369EB763" w14:textId="77777777" w:rsidR="00CC7883" w:rsidRDefault="00CC7883" w:rsidP="00CC7883"/>
    <w:p w14:paraId="01EE22B7" w14:textId="77777777" w:rsidR="00CC7883" w:rsidRDefault="00CC7883" w:rsidP="00CC7883"/>
    <w:p w14:paraId="27B6807A" w14:textId="77777777" w:rsidR="00CC7883" w:rsidRDefault="00CC7883" w:rsidP="00CC7883"/>
    <w:p w14:paraId="1F6B926E" w14:textId="77777777" w:rsidR="00CC7883" w:rsidRDefault="00CC7883" w:rsidP="00CC7883"/>
    <w:p w14:paraId="7CDD42B9" w14:textId="77777777" w:rsidR="00CC7883" w:rsidRDefault="00CC7883" w:rsidP="00CC7883"/>
    <w:p w14:paraId="4F55BF53" w14:textId="77777777" w:rsidR="00CC7883" w:rsidRDefault="00CC7883" w:rsidP="00CC7883"/>
    <w:p w14:paraId="2799A068" w14:textId="77777777" w:rsidR="00CC7883" w:rsidRDefault="00CC7883" w:rsidP="00CC7883"/>
    <w:p w14:paraId="4BAB73AC" w14:textId="77777777" w:rsidR="00CC7883" w:rsidRDefault="00CC7883" w:rsidP="00CC7883"/>
    <w:p w14:paraId="0B8168AD" w14:textId="77777777" w:rsidR="00CC7883" w:rsidRDefault="00CC7883" w:rsidP="00CC7883"/>
    <w:p w14:paraId="7E996A7E" w14:textId="77777777" w:rsidR="00CC7883" w:rsidRDefault="00CC7883" w:rsidP="00CC7883"/>
    <w:p w14:paraId="5E976612" w14:textId="77777777" w:rsidR="00CC7883" w:rsidRDefault="00CC7883" w:rsidP="00CC7883"/>
    <w:p w14:paraId="7133BBF1" w14:textId="77777777" w:rsidR="00CC7883" w:rsidRDefault="00CC7883" w:rsidP="00CC7883"/>
    <w:p w14:paraId="68BE12F8" w14:textId="77777777" w:rsidR="00CC7883" w:rsidRDefault="00CC7883" w:rsidP="00CC7883"/>
    <w:p w14:paraId="5EEAAF33" w14:textId="77777777" w:rsidR="00CC7883" w:rsidRDefault="00CC7883" w:rsidP="00CC7883"/>
    <w:p w14:paraId="6C502213" w14:textId="77777777" w:rsidR="00CC7883" w:rsidRDefault="00CC7883" w:rsidP="00CC7883"/>
    <w:p w14:paraId="593817FB" w14:textId="77777777" w:rsidR="00CC7883" w:rsidRDefault="00CC7883" w:rsidP="00CC7883"/>
    <w:p w14:paraId="57FCD35F" w14:textId="77777777" w:rsidR="00CC7883" w:rsidRDefault="00CC7883" w:rsidP="00CC7883"/>
    <w:p w14:paraId="1945BF87" w14:textId="77777777" w:rsidR="00CC7883" w:rsidRDefault="00CC7883" w:rsidP="00CC7883"/>
    <w:p w14:paraId="23D1539E" w14:textId="77777777" w:rsidR="00CC7883" w:rsidRPr="00CC7883" w:rsidRDefault="00CC7883" w:rsidP="00CC7883"/>
    <w:p w14:paraId="3081A95E" w14:textId="77777777" w:rsidR="00A360E5" w:rsidRDefault="00A360E5" w:rsidP="00A13F6E">
      <w:pPr>
        <w:pStyle w:val="OGPRC"/>
        <w:jc w:val="both"/>
        <w:rPr>
          <w:rFonts w:ascii="Arial" w:hAnsi="Arial" w:cs="Arial"/>
        </w:rPr>
      </w:pPr>
    </w:p>
    <w:p w14:paraId="794B543C" w14:textId="77777777" w:rsidR="00A360E5" w:rsidRPr="00AC2B39" w:rsidRDefault="00A360E5" w:rsidP="00154237">
      <w:pPr>
        <w:pStyle w:val="Ttulo1"/>
        <w:tabs>
          <w:tab w:val="clear" w:pos="958"/>
          <w:tab w:val="clear" w:pos="1424"/>
          <w:tab w:val="num" w:pos="960"/>
        </w:tabs>
        <w:ind w:left="960" w:hanging="600"/>
        <w:jc w:val="both"/>
        <w:rPr>
          <w:rFonts w:ascii="Arial" w:hAnsi="Arial" w:cs="Arial"/>
          <w:sz w:val="22"/>
          <w:szCs w:val="22"/>
        </w:rPr>
      </w:pPr>
      <w:bookmarkStart w:id="0" w:name="_Toc152678297"/>
      <w:r w:rsidRPr="00AC2B39">
        <w:rPr>
          <w:rFonts w:ascii="Arial" w:hAnsi="Arial" w:cs="Arial"/>
          <w:sz w:val="22"/>
          <w:szCs w:val="22"/>
        </w:rPr>
        <w:lastRenderedPageBreak/>
        <w:t>Objetivo</w:t>
      </w:r>
      <w:bookmarkEnd w:id="0"/>
    </w:p>
    <w:p w14:paraId="59EB80E0" w14:textId="77777777" w:rsidR="00A360E5" w:rsidRPr="00AC2B39" w:rsidRDefault="00BF2B09" w:rsidP="00154237">
      <w:pPr>
        <w:pStyle w:val="OGPRC"/>
        <w:ind w:left="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Alinear </w:t>
      </w:r>
      <w:r w:rsidRPr="00605D63">
        <w:rPr>
          <w:rFonts w:ascii="Arial" w:hAnsi="Arial" w:cs="Arial"/>
          <w:sz w:val="22"/>
          <w:szCs w:val="22"/>
        </w:rPr>
        <w:t xml:space="preserve">las directrices de los procedimientos adoptados por todas las unidades TIVIT a fin de </w:t>
      </w:r>
      <w:r w:rsidR="00E40FE0" w:rsidRPr="00605D63">
        <w:rPr>
          <w:rFonts w:ascii="Arial" w:hAnsi="Arial" w:cs="Arial"/>
          <w:sz w:val="22"/>
          <w:szCs w:val="22"/>
        </w:rPr>
        <w:t>garantizar</w:t>
      </w:r>
      <w:r w:rsidR="0017104D" w:rsidRPr="00605D63">
        <w:rPr>
          <w:rFonts w:ascii="Arial" w:hAnsi="Arial" w:cs="Arial"/>
          <w:sz w:val="22"/>
          <w:szCs w:val="22"/>
        </w:rPr>
        <w:t xml:space="preserve"> </w:t>
      </w:r>
      <w:r w:rsidR="00951EA8" w:rsidRPr="00605D63">
        <w:rPr>
          <w:rFonts w:ascii="Arial" w:hAnsi="Arial" w:cs="Arial"/>
          <w:sz w:val="22"/>
          <w:szCs w:val="22"/>
        </w:rPr>
        <w:t>el</w:t>
      </w:r>
      <w:r w:rsidR="0017104D" w:rsidRPr="00605D63">
        <w:rPr>
          <w:rFonts w:ascii="Arial" w:hAnsi="Arial" w:cs="Arial"/>
          <w:sz w:val="22"/>
          <w:szCs w:val="22"/>
        </w:rPr>
        <w:t xml:space="preserve"> </w:t>
      </w:r>
      <w:r w:rsidR="00951EA8" w:rsidRPr="00605D63">
        <w:rPr>
          <w:rFonts w:ascii="Arial" w:hAnsi="Arial" w:cs="Arial"/>
          <w:sz w:val="22"/>
          <w:szCs w:val="22"/>
        </w:rPr>
        <w:t>compromiso de mantener y mejorar continuamente su desempeño en materia de</w:t>
      </w:r>
      <w:r w:rsidR="00E40FE0" w:rsidRPr="00605D63">
        <w:rPr>
          <w:rFonts w:ascii="Arial" w:hAnsi="Arial" w:cs="Arial"/>
          <w:sz w:val="22"/>
          <w:szCs w:val="22"/>
        </w:rPr>
        <w:t xml:space="preserve"> </w:t>
      </w:r>
      <w:r w:rsidRPr="00605D63">
        <w:rPr>
          <w:rFonts w:ascii="Arial" w:hAnsi="Arial" w:cs="Arial"/>
          <w:sz w:val="22"/>
          <w:szCs w:val="22"/>
        </w:rPr>
        <w:t xml:space="preserve">seguridad y salud </w:t>
      </w:r>
      <w:r w:rsidR="00A6479B">
        <w:rPr>
          <w:rFonts w:ascii="Arial" w:hAnsi="Arial" w:cs="Arial"/>
          <w:sz w:val="22"/>
          <w:szCs w:val="22"/>
        </w:rPr>
        <w:t>en el trabajo</w:t>
      </w:r>
      <w:r w:rsidRPr="00605D63">
        <w:rPr>
          <w:rFonts w:ascii="Arial" w:hAnsi="Arial" w:cs="Arial"/>
          <w:sz w:val="22"/>
          <w:szCs w:val="22"/>
        </w:rPr>
        <w:t>, as</w:t>
      </w:r>
      <w:r w:rsidR="00FE51CC" w:rsidRPr="00605D63">
        <w:rPr>
          <w:rFonts w:ascii="Arial" w:hAnsi="Arial" w:cs="Arial"/>
          <w:sz w:val="22"/>
          <w:szCs w:val="22"/>
        </w:rPr>
        <w:t>í</w:t>
      </w:r>
      <w:r w:rsidRPr="00605D63">
        <w:rPr>
          <w:rFonts w:ascii="Arial" w:hAnsi="Arial" w:cs="Arial"/>
          <w:sz w:val="22"/>
          <w:szCs w:val="22"/>
        </w:rPr>
        <w:t xml:space="preserve"> como prevenir la integridad física </w:t>
      </w:r>
      <w:r w:rsidR="00FC7F4A" w:rsidRPr="00605D63">
        <w:rPr>
          <w:rFonts w:ascii="Arial" w:hAnsi="Arial" w:cs="Arial"/>
          <w:sz w:val="22"/>
          <w:szCs w:val="22"/>
        </w:rPr>
        <w:t xml:space="preserve">y </w:t>
      </w:r>
      <w:r w:rsidR="00A6479B" w:rsidRPr="00B62959">
        <w:rPr>
          <w:rFonts w:ascii="Arial" w:hAnsi="Arial" w:cs="Arial"/>
          <w:sz w:val="22"/>
          <w:szCs w:val="22"/>
        </w:rPr>
        <w:t>mental</w:t>
      </w:r>
      <w:r w:rsidR="00FC7F4A" w:rsidRPr="00B62959">
        <w:rPr>
          <w:rFonts w:ascii="Arial" w:hAnsi="Arial" w:cs="Arial"/>
          <w:sz w:val="22"/>
          <w:szCs w:val="22"/>
        </w:rPr>
        <w:t xml:space="preserve"> de</w:t>
      </w:r>
      <w:r w:rsidR="00A6479B" w:rsidRPr="00B62959">
        <w:rPr>
          <w:rFonts w:ascii="Arial" w:hAnsi="Arial" w:cs="Arial"/>
          <w:sz w:val="22"/>
          <w:szCs w:val="22"/>
        </w:rPr>
        <w:t xml:space="preserve"> los colaboradores propios y de la de otras personas que puedan verse afectadas por actividades de la empresa;</w:t>
      </w:r>
      <w:r w:rsidR="003D7477" w:rsidRPr="00B62959">
        <w:rPr>
          <w:rFonts w:ascii="Arial" w:hAnsi="Arial" w:cs="Arial"/>
          <w:sz w:val="22"/>
          <w:szCs w:val="22"/>
        </w:rPr>
        <w:t xml:space="preserve"> a </w:t>
      </w:r>
      <w:r w:rsidR="00C07AFE" w:rsidRPr="00B62959">
        <w:rPr>
          <w:rFonts w:ascii="Arial" w:hAnsi="Arial" w:cs="Arial"/>
          <w:sz w:val="22"/>
          <w:szCs w:val="22"/>
        </w:rPr>
        <w:t>partir</w:t>
      </w:r>
      <w:r w:rsidR="003D7477" w:rsidRPr="00B62959">
        <w:rPr>
          <w:rFonts w:ascii="Arial" w:hAnsi="Arial" w:cs="Arial"/>
          <w:sz w:val="22"/>
          <w:szCs w:val="22"/>
        </w:rPr>
        <w:t xml:space="preserve"> de la definición de responsabilidades, procedimientos y una agenda integrada buscando</w:t>
      </w:r>
      <w:r w:rsidR="00951EA8" w:rsidRPr="00B62959">
        <w:rPr>
          <w:rFonts w:ascii="Arial" w:hAnsi="Arial" w:cs="Arial"/>
          <w:sz w:val="22"/>
          <w:szCs w:val="22"/>
        </w:rPr>
        <w:t xml:space="preserve"> la adecuada identificación</w:t>
      </w:r>
      <w:r w:rsidR="00755821" w:rsidRPr="00B62959">
        <w:rPr>
          <w:rFonts w:ascii="Arial" w:hAnsi="Arial" w:cs="Arial"/>
          <w:sz w:val="22"/>
          <w:szCs w:val="22"/>
        </w:rPr>
        <w:t xml:space="preserve">, evaluación y control de los riesgos laborales generados en cada proceso y actividad que realizan sus </w:t>
      </w:r>
      <w:r w:rsidR="00320FF6" w:rsidRPr="00B62959">
        <w:rPr>
          <w:rFonts w:ascii="Arial" w:hAnsi="Arial" w:cs="Arial"/>
          <w:sz w:val="22"/>
          <w:szCs w:val="22"/>
        </w:rPr>
        <w:t>colaboradores</w:t>
      </w:r>
      <w:r w:rsidR="00951EA8" w:rsidRPr="00B62959">
        <w:rPr>
          <w:rFonts w:ascii="Arial" w:hAnsi="Arial" w:cs="Arial"/>
          <w:sz w:val="22"/>
          <w:szCs w:val="22"/>
        </w:rPr>
        <w:t xml:space="preserve"> </w:t>
      </w:r>
      <w:r w:rsidR="00755821" w:rsidRPr="00B62959">
        <w:rPr>
          <w:rFonts w:ascii="Arial" w:hAnsi="Arial" w:cs="Arial"/>
          <w:sz w:val="22"/>
          <w:szCs w:val="22"/>
        </w:rPr>
        <w:t xml:space="preserve">con </w:t>
      </w:r>
      <w:r w:rsidR="00C07AFE" w:rsidRPr="00B62959">
        <w:rPr>
          <w:rFonts w:ascii="Arial" w:hAnsi="Arial" w:cs="Arial"/>
          <w:sz w:val="22"/>
          <w:szCs w:val="22"/>
        </w:rPr>
        <w:t xml:space="preserve">la finalidad </w:t>
      </w:r>
      <w:r w:rsidR="00755821" w:rsidRPr="00B62959">
        <w:rPr>
          <w:rFonts w:ascii="Arial" w:hAnsi="Arial" w:cs="Arial"/>
          <w:sz w:val="22"/>
          <w:szCs w:val="22"/>
        </w:rPr>
        <w:t xml:space="preserve">de </w:t>
      </w:r>
      <w:r w:rsidR="003D7477" w:rsidRPr="00B62959">
        <w:rPr>
          <w:rFonts w:ascii="Arial" w:hAnsi="Arial" w:cs="Arial"/>
          <w:sz w:val="22"/>
          <w:szCs w:val="22"/>
        </w:rPr>
        <w:t xml:space="preserve">eliminar o reducir los </w:t>
      </w:r>
      <w:r w:rsidR="00B9315F" w:rsidRPr="00B62959">
        <w:rPr>
          <w:rFonts w:ascii="Arial" w:hAnsi="Arial" w:cs="Arial"/>
          <w:sz w:val="22"/>
          <w:szCs w:val="22"/>
        </w:rPr>
        <w:t>inci</w:t>
      </w:r>
      <w:r w:rsidR="00F229FE" w:rsidRPr="00B62959">
        <w:rPr>
          <w:rFonts w:ascii="Arial" w:hAnsi="Arial" w:cs="Arial"/>
          <w:sz w:val="22"/>
          <w:szCs w:val="22"/>
        </w:rPr>
        <w:t>dentes</w:t>
      </w:r>
      <w:r w:rsidR="00A6479B" w:rsidRPr="00B62959">
        <w:rPr>
          <w:rFonts w:ascii="Arial" w:hAnsi="Arial" w:cs="Arial"/>
          <w:sz w:val="22"/>
          <w:szCs w:val="22"/>
        </w:rPr>
        <w:t xml:space="preserve"> y</w:t>
      </w:r>
      <w:r w:rsidR="003D7477" w:rsidRPr="00B62959">
        <w:rPr>
          <w:rFonts w:ascii="Arial" w:hAnsi="Arial" w:cs="Arial"/>
          <w:sz w:val="22"/>
          <w:szCs w:val="22"/>
        </w:rPr>
        <w:t xml:space="preserve"> </w:t>
      </w:r>
      <w:r w:rsidR="00F229FE" w:rsidRPr="00B62959">
        <w:rPr>
          <w:rFonts w:ascii="Arial" w:hAnsi="Arial" w:cs="Arial"/>
          <w:sz w:val="22"/>
          <w:szCs w:val="22"/>
        </w:rPr>
        <w:t>enfermedades</w:t>
      </w:r>
      <w:r w:rsidR="003D7477" w:rsidRPr="00B62959">
        <w:rPr>
          <w:rFonts w:ascii="Arial" w:hAnsi="Arial" w:cs="Arial"/>
          <w:sz w:val="22"/>
          <w:szCs w:val="22"/>
        </w:rPr>
        <w:t xml:space="preserve"> </w:t>
      </w:r>
      <w:r w:rsidR="00A6479B" w:rsidRPr="00B62959">
        <w:rPr>
          <w:rFonts w:ascii="Arial" w:hAnsi="Arial" w:cs="Arial"/>
          <w:sz w:val="22"/>
          <w:szCs w:val="22"/>
        </w:rPr>
        <w:t>ocupacionales</w:t>
      </w:r>
      <w:r w:rsidR="003D7477" w:rsidRPr="00B62959">
        <w:rPr>
          <w:rFonts w:ascii="Arial" w:hAnsi="Arial" w:cs="Arial"/>
          <w:sz w:val="22"/>
          <w:szCs w:val="22"/>
        </w:rPr>
        <w:t>.</w:t>
      </w:r>
      <w:r w:rsidR="003D7477">
        <w:rPr>
          <w:rFonts w:ascii="Arial" w:hAnsi="Arial" w:cs="Arial"/>
          <w:sz w:val="22"/>
          <w:szCs w:val="22"/>
        </w:rPr>
        <w:t xml:space="preserve"> </w:t>
      </w:r>
    </w:p>
    <w:p w14:paraId="3ABBED9D" w14:textId="77777777" w:rsidR="00A360E5" w:rsidRPr="00AC2B39" w:rsidRDefault="00A360E5" w:rsidP="00154237">
      <w:pPr>
        <w:pStyle w:val="OGPRC"/>
        <w:ind w:left="960"/>
        <w:jc w:val="both"/>
        <w:rPr>
          <w:rFonts w:ascii="Arial" w:hAnsi="Arial" w:cs="Arial"/>
          <w:sz w:val="22"/>
          <w:szCs w:val="22"/>
        </w:rPr>
      </w:pPr>
    </w:p>
    <w:p w14:paraId="56976A83" w14:textId="77777777" w:rsidR="00A360E5" w:rsidRPr="00AC2B39" w:rsidRDefault="00430E7E" w:rsidP="00154237">
      <w:pPr>
        <w:pStyle w:val="Ttulo1"/>
        <w:tabs>
          <w:tab w:val="clear" w:pos="958"/>
          <w:tab w:val="clear" w:pos="1424"/>
          <w:tab w:val="num" w:pos="960"/>
        </w:tabs>
        <w:ind w:left="960" w:hanging="600"/>
        <w:jc w:val="both"/>
        <w:rPr>
          <w:rFonts w:ascii="Arial" w:hAnsi="Arial" w:cs="Arial"/>
          <w:sz w:val="22"/>
          <w:szCs w:val="22"/>
        </w:rPr>
      </w:pPr>
      <w:bookmarkStart w:id="1" w:name="_Toc152678298"/>
      <w:r>
        <w:rPr>
          <w:rFonts w:ascii="Arial" w:hAnsi="Arial" w:cs="Arial"/>
          <w:sz w:val="22"/>
          <w:szCs w:val="22"/>
        </w:rPr>
        <w:t>Aplicaciones y</w:t>
      </w:r>
      <w:r w:rsidR="00A360E5" w:rsidRPr="00AC2B39">
        <w:rPr>
          <w:rFonts w:ascii="Arial" w:hAnsi="Arial" w:cs="Arial"/>
          <w:sz w:val="22"/>
          <w:szCs w:val="22"/>
        </w:rPr>
        <w:t xml:space="preserve"> Áreas </w:t>
      </w:r>
      <w:r>
        <w:rPr>
          <w:rFonts w:ascii="Arial" w:hAnsi="Arial" w:cs="Arial"/>
          <w:sz w:val="22"/>
          <w:szCs w:val="22"/>
        </w:rPr>
        <w:t>Involucradas</w:t>
      </w:r>
      <w:bookmarkEnd w:id="1"/>
    </w:p>
    <w:p w14:paraId="09DE1290" w14:textId="77777777" w:rsidR="00A360E5" w:rsidRPr="00AC2B39" w:rsidRDefault="003B7A37" w:rsidP="00154237">
      <w:pPr>
        <w:pStyle w:val="OGPRC"/>
        <w:ind w:left="960"/>
        <w:jc w:val="both"/>
        <w:rPr>
          <w:rFonts w:ascii="Arial" w:hAnsi="Arial" w:cs="Arial"/>
          <w:sz w:val="22"/>
          <w:szCs w:val="22"/>
        </w:rPr>
      </w:pPr>
      <w:r w:rsidRPr="00AC2B39">
        <w:rPr>
          <w:rFonts w:ascii="Arial" w:hAnsi="Arial" w:cs="Arial"/>
          <w:sz w:val="22"/>
          <w:szCs w:val="22"/>
        </w:rPr>
        <w:t>Esta pol</w:t>
      </w:r>
      <w:r w:rsidR="001623B0">
        <w:rPr>
          <w:rFonts w:ascii="Arial" w:hAnsi="Arial" w:cs="Arial"/>
          <w:sz w:val="22"/>
          <w:szCs w:val="22"/>
        </w:rPr>
        <w:t>í</w:t>
      </w:r>
      <w:r w:rsidRPr="00AC2B39">
        <w:rPr>
          <w:rFonts w:ascii="Arial" w:hAnsi="Arial" w:cs="Arial"/>
          <w:sz w:val="22"/>
          <w:szCs w:val="22"/>
        </w:rPr>
        <w:t xml:space="preserve">tica </w:t>
      </w:r>
      <w:r w:rsidR="00430E7E">
        <w:rPr>
          <w:rFonts w:ascii="Arial" w:hAnsi="Arial" w:cs="Arial"/>
          <w:sz w:val="22"/>
          <w:szCs w:val="22"/>
        </w:rPr>
        <w:t xml:space="preserve">es aplicable para todas las áreas, áreas de </w:t>
      </w:r>
      <w:r w:rsidR="00F229FE">
        <w:rPr>
          <w:rFonts w:ascii="Arial" w:hAnsi="Arial" w:cs="Arial"/>
          <w:sz w:val="22"/>
          <w:szCs w:val="22"/>
        </w:rPr>
        <w:t>negocios</w:t>
      </w:r>
      <w:r w:rsidR="00430E7E">
        <w:rPr>
          <w:rFonts w:ascii="Arial" w:hAnsi="Arial" w:cs="Arial"/>
          <w:sz w:val="22"/>
          <w:szCs w:val="22"/>
        </w:rPr>
        <w:t xml:space="preserve"> y unidades de TIVIT Tercerización de Procesos, Servicios y </w:t>
      </w:r>
      <w:r w:rsidR="00A6479B">
        <w:rPr>
          <w:rFonts w:ascii="Arial" w:hAnsi="Arial" w:cs="Arial"/>
          <w:sz w:val="22"/>
          <w:szCs w:val="22"/>
        </w:rPr>
        <w:t>T</w:t>
      </w:r>
      <w:r w:rsidR="00F229FE">
        <w:rPr>
          <w:rFonts w:ascii="Arial" w:hAnsi="Arial" w:cs="Arial"/>
          <w:sz w:val="22"/>
          <w:szCs w:val="22"/>
        </w:rPr>
        <w:t>ecnología</w:t>
      </w:r>
      <w:r w:rsidR="00430E7E">
        <w:rPr>
          <w:rFonts w:ascii="Arial" w:hAnsi="Arial" w:cs="Arial"/>
          <w:sz w:val="22"/>
          <w:szCs w:val="22"/>
        </w:rPr>
        <w:t xml:space="preserve"> S</w:t>
      </w:r>
      <w:r w:rsidR="00A6479B">
        <w:rPr>
          <w:rFonts w:ascii="Arial" w:hAnsi="Arial" w:cs="Arial"/>
          <w:sz w:val="22"/>
          <w:szCs w:val="22"/>
        </w:rPr>
        <w:t>.</w:t>
      </w:r>
      <w:r w:rsidR="00430E7E">
        <w:rPr>
          <w:rFonts w:ascii="Arial" w:hAnsi="Arial" w:cs="Arial"/>
          <w:sz w:val="22"/>
          <w:szCs w:val="22"/>
        </w:rPr>
        <w:t xml:space="preserve">A. </w:t>
      </w:r>
    </w:p>
    <w:p w14:paraId="277AD22A" w14:textId="77777777" w:rsidR="003B7A37" w:rsidRPr="00AC2B39" w:rsidRDefault="003B7A37" w:rsidP="00154237">
      <w:pPr>
        <w:pStyle w:val="OGPRC"/>
        <w:ind w:left="960"/>
        <w:jc w:val="both"/>
        <w:rPr>
          <w:rFonts w:ascii="Arial" w:hAnsi="Arial" w:cs="Arial"/>
          <w:sz w:val="22"/>
          <w:szCs w:val="22"/>
        </w:rPr>
      </w:pPr>
    </w:p>
    <w:p w14:paraId="2DDD6369" w14:textId="77777777" w:rsidR="00A360E5" w:rsidRPr="00AC2B39" w:rsidRDefault="00430E7E" w:rsidP="00154237">
      <w:pPr>
        <w:pStyle w:val="Ttulo1"/>
        <w:tabs>
          <w:tab w:val="clear" w:pos="958"/>
          <w:tab w:val="clear" w:pos="1424"/>
          <w:tab w:val="num" w:pos="960"/>
        </w:tabs>
        <w:ind w:left="960" w:hanging="600"/>
        <w:jc w:val="both"/>
        <w:rPr>
          <w:rFonts w:ascii="Arial" w:hAnsi="Arial" w:cs="Arial"/>
          <w:sz w:val="22"/>
          <w:szCs w:val="22"/>
        </w:rPr>
      </w:pPr>
      <w:bookmarkStart w:id="2" w:name="_Toc152678299"/>
      <w:r>
        <w:rPr>
          <w:rFonts w:ascii="Arial" w:hAnsi="Arial" w:cs="Arial"/>
          <w:sz w:val="22"/>
          <w:szCs w:val="22"/>
        </w:rPr>
        <w:t>Definiciones y Premi</w:t>
      </w:r>
      <w:r w:rsidR="00A360E5" w:rsidRPr="00AC2B39">
        <w:rPr>
          <w:rFonts w:ascii="Arial" w:hAnsi="Arial" w:cs="Arial"/>
          <w:sz w:val="22"/>
          <w:szCs w:val="22"/>
        </w:rPr>
        <w:t>sas</w:t>
      </w:r>
      <w:bookmarkEnd w:id="2"/>
    </w:p>
    <w:p w14:paraId="213B77EE" w14:textId="77777777" w:rsidR="00035FD4" w:rsidRPr="00A445BD" w:rsidRDefault="00AC2B39" w:rsidP="00A445BD">
      <w:pPr>
        <w:pStyle w:val="Ttulo2"/>
        <w:tabs>
          <w:tab w:val="clear" w:pos="1712"/>
          <w:tab w:val="num" w:pos="1418"/>
        </w:tabs>
        <w:ind w:left="993" w:firstLine="0"/>
        <w:rPr>
          <w:rFonts w:ascii="Arial" w:hAnsi="Arial"/>
          <w:szCs w:val="22"/>
        </w:rPr>
      </w:pPr>
      <w:bookmarkStart w:id="3" w:name="_Toc152678300"/>
      <w:r w:rsidRPr="00AC2B39">
        <w:rPr>
          <w:rFonts w:ascii="Arial" w:hAnsi="Arial"/>
          <w:szCs w:val="22"/>
        </w:rPr>
        <w:t>P</w:t>
      </w:r>
      <w:r w:rsidR="00430E7E">
        <w:rPr>
          <w:rFonts w:ascii="Arial" w:hAnsi="Arial"/>
          <w:szCs w:val="22"/>
        </w:rPr>
        <w:t>remis</w:t>
      </w:r>
      <w:r>
        <w:rPr>
          <w:rFonts w:ascii="Arial" w:hAnsi="Arial"/>
          <w:szCs w:val="22"/>
        </w:rPr>
        <w:t>a</w:t>
      </w:r>
      <w:bookmarkStart w:id="4" w:name="_Hlk152609861"/>
      <w:bookmarkEnd w:id="3"/>
    </w:p>
    <w:p w14:paraId="0174B590" w14:textId="77777777" w:rsidR="00035FD4" w:rsidRPr="00B62959" w:rsidRDefault="00035FD4" w:rsidP="00A445BD">
      <w:pPr>
        <w:tabs>
          <w:tab w:val="left" w:pos="890"/>
        </w:tabs>
        <w:spacing w:line="360" w:lineRule="auto"/>
        <w:ind w:left="960"/>
        <w:jc w:val="both"/>
        <w:rPr>
          <w:rFonts w:ascii="Arial" w:hAnsi="Arial" w:cs="Arial"/>
          <w:sz w:val="22"/>
          <w:szCs w:val="22"/>
        </w:rPr>
      </w:pPr>
      <w:r w:rsidRPr="00B62959">
        <w:rPr>
          <w:rFonts w:ascii="Arial" w:hAnsi="Arial" w:cs="Arial"/>
          <w:sz w:val="22"/>
          <w:szCs w:val="22"/>
        </w:rPr>
        <w:t>La política de Seguridad y Salud en el Trabajo de TIVIT es compatible con los objetivos y la dirección estratégic</w:t>
      </w:r>
      <w:r w:rsidR="00A445BD" w:rsidRPr="00B62959">
        <w:rPr>
          <w:rFonts w:ascii="Arial" w:hAnsi="Arial" w:cs="Arial"/>
          <w:sz w:val="22"/>
          <w:szCs w:val="22"/>
        </w:rPr>
        <w:t>a</w:t>
      </w:r>
      <w:r w:rsidRPr="00B62959">
        <w:rPr>
          <w:rFonts w:ascii="Arial" w:hAnsi="Arial" w:cs="Arial"/>
          <w:sz w:val="22"/>
          <w:szCs w:val="22"/>
        </w:rPr>
        <w:t xml:space="preserve"> de la organización</w:t>
      </w:r>
      <w:r w:rsidR="00A445BD" w:rsidRPr="00B62959">
        <w:rPr>
          <w:rFonts w:ascii="Arial" w:hAnsi="Arial" w:cs="Arial"/>
          <w:sz w:val="22"/>
          <w:szCs w:val="22"/>
        </w:rPr>
        <w:t>.</w:t>
      </w:r>
    </w:p>
    <w:p w14:paraId="75660F74" w14:textId="77777777" w:rsidR="00430E7E" w:rsidRPr="00B62959" w:rsidRDefault="00F46A46" w:rsidP="00154237">
      <w:pPr>
        <w:tabs>
          <w:tab w:val="left" w:pos="890"/>
        </w:tabs>
        <w:spacing w:line="360" w:lineRule="auto"/>
        <w:ind w:left="960" w:firstLine="33"/>
        <w:jc w:val="both"/>
        <w:rPr>
          <w:rFonts w:ascii="Arial" w:hAnsi="Arial" w:cs="Arial"/>
          <w:sz w:val="22"/>
          <w:szCs w:val="22"/>
        </w:rPr>
      </w:pPr>
      <w:r w:rsidRPr="00B62959">
        <w:rPr>
          <w:rFonts w:ascii="Arial" w:hAnsi="Arial" w:cs="Arial"/>
          <w:sz w:val="22"/>
          <w:szCs w:val="22"/>
        </w:rPr>
        <w:t>Los</w:t>
      </w:r>
      <w:r w:rsidR="00430E7E" w:rsidRPr="00B62959">
        <w:rPr>
          <w:rFonts w:ascii="Arial" w:hAnsi="Arial" w:cs="Arial"/>
          <w:sz w:val="22"/>
          <w:szCs w:val="22"/>
        </w:rPr>
        <w:t xml:space="preserve"> gestores de TIVIT</w:t>
      </w:r>
      <w:bookmarkEnd w:id="4"/>
      <w:r w:rsidR="00430E7E" w:rsidRPr="00B62959">
        <w:rPr>
          <w:rFonts w:ascii="Arial" w:hAnsi="Arial" w:cs="Arial"/>
          <w:sz w:val="22"/>
          <w:szCs w:val="22"/>
        </w:rPr>
        <w:t xml:space="preserve"> y profesionales de SESMT </w:t>
      </w:r>
      <w:r w:rsidR="00035FD4" w:rsidRPr="00B62959">
        <w:rPr>
          <w:rFonts w:ascii="Arial" w:hAnsi="Arial" w:cs="Arial"/>
          <w:sz w:val="22"/>
          <w:szCs w:val="22"/>
        </w:rPr>
        <w:t>actúan</w:t>
      </w:r>
      <w:r w:rsidR="00430E7E" w:rsidRPr="00B62959">
        <w:rPr>
          <w:rFonts w:ascii="Arial" w:hAnsi="Arial" w:cs="Arial"/>
          <w:sz w:val="22"/>
          <w:szCs w:val="22"/>
        </w:rPr>
        <w:t xml:space="preserve"> de forma</w:t>
      </w:r>
      <w:r w:rsidR="00430E7E" w:rsidRPr="00B62959">
        <w:rPr>
          <w:rFonts w:ascii="Arial" w:hAnsi="Arial" w:cs="Arial"/>
          <w:color w:val="FF0000"/>
          <w:sz w:val="22"/>
          <w:szCs w:val="22"/>
        </w:rPr>
        <w:t xml:space="preserve"> </w:t>
      </w:r>
      <w:r w:rsidR="00430E7E" w:rsidRPr="00B62959">
        <w:rPr>
          <w:rFonts w:ascii="Arial" w:hAnsi="Arial" w:cs="Arial"/>
          <w:sz w:val="22"/>
          <w:szCs w:val="22"/>
        </w:rPr>
        <w:t>preventiva</w:t>
      </w:r>
      <w:r w:rsidR="00E40FE0" w:rsidRPr="00B62959">
        <w:rPr>
          <w:rFonts w:ascii="Arial" w:hAnsi="Arial" w:cs="Arial"/>
          <w:sz w:val="22"/>
          <w:szCs w:val="22"/>
        </w:rPr>
        <w:t>,</w:t>
      </w:r>
      <w:r w:rsidR="00430E7E" w:rsidRPr="00B62959">
        <w:rPr>
          <w:rFonts w:ascii="Arial" w:hAnsi="Arial" w:cs="Arial"/>
          <w:sz w:val="22"/>
          <w:szCs w:val="22"/>
        </w:rPr>
        <w:t xml:space="preserve"> </w:t>
      </w:r>
      <w:r w:rsidR="00035FD4" w:rsidRPr="00B62959">
        <w:rPr>
          <w:rFonts w:ascii="Arial" w:hAnsi="Arial" w:cs="Arial"/>
          <w:sz w:val="22"/>
          <w:szCs w:val="22"/>
        </w:rPr>
        <w:t>a través de</w:t>
      </w:r>
      <w:r w:rsidR="00430E7E" w:rsidRPr="00B62959">
        <w:rPr>
          <w:rFonts w:ascii="Arial" w:hAnsi="Arial" w:cs="Arial"/>
          <w:sz w:val="22"/>
          <w:szCs w:val="22"/>
        </w:rPr>
        <w:t xml:space="preserve"> acciones y programas que gener</w:t>
      </w:r>
      <w:r w:rsidR="00035FD4" w:rsidRPr="00B62959">
        <w:rPr>
          <w:rFonts w:ascii="Arial" w:hAnsi="Arial" w:cs="Arial"/>
          <w:sz w:val="22"/>
          <w:szCs w:val="22"/>
        </w:rPr>
        <w:t>a</w:t>
      </w:r>
      <w:r w:rsidR="00430E7E" w:rsidRPr="00B62959">
        <w:rPr>
          <w:rFonts w:ascii="Arial" w:hAnsi="Arial" w:cs="Arial"/>
          <w:sz w:val="22"/>
          <w:szCs w:val="22"/>
        </w:rPr>
        <w:t xml:space="preserve">n actitudes y motivaciones para </w:t>
      </w:r>
      <w:r w:rsidR="00035FD4" w:rsidRPr="00B62959">
        <w:rPr>
          <w:rFonts w:ascii="Arial" w:hAnsi="Arial" w:cs="Arial"/>
          <w:sz w:val="22"/>
          <w:szCs w:val="22"/>
        </w:rPr>
        <w:t xml:space="preserve">alcanzar la </w:t>
      </w:r>
      <w:r w:rsidR="00430E7E" w:rsidRPr="00B62959">
        <w:rPr>
          <w:rFonts w:ascii="Arial" w:hAnsi="Arial" w:cs="Arial"/>
          <w:sz w:val="22"/>
          <w:szCs w:val="22"/>
        </w:rPr>
        <w:t xml:space="preserve">excelencia </w:t>
      </w:r>
      <w:r w:rsidR="00035FD4" w:rsidRPr="00B62959">
        <w:rPr>
          <w:rFonts w:ascii="Arial" w:hAnsi="Arial" w:cs="Arial"/>
          <w:sz w:val="22"/>
          <w:szCs w:val="22"/>
        </w:rPr>
        <w:t>en</w:t>
      </w:r>
      <w:r w:rsidR="00430E7E" w:rsidRPr="00B62959">
        <w:rPr>
          <w:rFonts w:ascii="Arial" w:hAnsi="Arial" w:cs="Arial"/>
          <w:sz w:val="22"/>
          <w:szCs w:val="22"/>
        </w:rPr>
        <w:t xml:space="preserve"> seguridad</w:t>
      </w:r>
      <w:r w:rsidR="00703C5E" w:rsidRPr="00B62959">
        <w:rPr>
          <w:rFonts w:ascii="Arial" w:hAnsi="Arial" w:cs="Arial"/>
          <w:sz w:val="22"/>
          <w:szCs w:val="22"/>
        </w:rPr>
        <w:t xml:space="preserve"> y </w:t>
      </w:r>
      <w:r w:rsidR="00F229FE" w:rsidRPr="00B62959">
        <w:rPr>
          <w:rFonts w:ascii="Arial" w:hAnsi="Arial" w:cs="Arial"/>
          <w:sz w:val="22"/>
          <w:szCs w:val="22"/>
        </w:rPr>
        <w:t>salud</w:t>
      </w:r>
      <w:r w:rsidR="00703C5E" w:rsidRPr="00B62959">
        <w:rPr>
          <w:rFonts w:ascii="Arial" w:hAnsi="Arial" w:cs="Arial"/>
          <w:sz w:val="22"/>
          <w:szCs w:val="22"/>
        </w:rPr>
        <w:t xml:space="preserve"> y en el trabajo</w:t>
      </w:r>
      <w:r w:rsidR="00430E7E" w:rsidRPr="00B62959">
        <w:rPr>
          <w:rFonts w:ascii="Arial" w:hAnsi="Arial" w:cs="Arial"/>
          <w:sz w:val="22"/>
          <w:szCs w:val="22"/>
        </w:rPr>
        <w:t>.</w:t>
      </w:r>
    </w:p>
    <w:p w14:paraId="676BD38B" w14:textId="77777777" w:rsidR="002615BD" w:rsidRPr="00AC2B39" w:rsidRDefault="00035FD4" w:rsidP="00E40FE0">
      <w:pPr>
        <w:tabs>
          <w:tab w:val="left" w:pos="890"/>
        </w:tabs>
        <w:spacing w:line="360" w:lineRule="auto"/>
        <w:ind w:left="960"/>
        <w:jc w:val="both"/>
        <w:rPr>
          <w:rFonts w:ascii="Arial" w:hAnsi="Arial" w:cs="Arial"/>
          <w:sz w:val="22"/>
          <w:szCs w:val="22"/>
        </w:rPr>
      </w:pPr>
      <w:r w:rsidRPr="00B62959">
        <w:rPr>
          <w:rFonts w:ascii="Arial" w:hAnsi="Arial" w:cs="Arial"/>
          <w:sz w:val="22"/>
          <w:szCs w:val="22"/>
        </w:rPr>
        <w:t>Toda persona que toma</w:t>
      </w:r>
      <w:r w:rsidR="00430E7E" w:rsidRPr="00B62959">
        <w:rPr>
          <w:rFonts w:ascii="Arial" w:hAnsi="Arial" w:cs="Arial"/>
          <w:sz w:val="22"/>
          <w:szCs w:val="22"/>
        </w:rPr>
        <w:t xml:space="preserve"> conocimiento de</w:t>
      </w:r>
      <w:r w:rsidRPr="00B62959">
        <w:rPr>
          <w:rFonts w:ascii="Arial" w:hAnsi="Arial" w:cs="Arial"/>
          <w:sz w:val="22"/>
          <w:szCs w:val="22"/>
        </w:rPr>
        <w:t xml:space="preserve"> un</w:t>
      </w:r>
      <w:r w:rsidR="00430E7E" w:rsidRPr="00B62959">
        <w:rPr>
          <w:rFonts w:ascii="Arial" w:hAnsi="Arial" w:cs="Arial"/>
          <w:sz w:val="22"/>
          <w:szCs w:val="22"/>
        </w:rPr>
        <w:t xml:space="preserve"> acto y/o condición insegura</w:t>
      </w:r>
      <w:r w:rsidRPr="00B62959">
        <w:rPr>
          <w:rFonts w:ascii="Arial" w:hAnsi="Arial" w:cs="Arial"/>
          <w:sz w:val="22"/>
          <w:szCs w:val="22"/>
        </w:rPr>
        <w:t xml:space="preserve"> debe</w:t>
      </w:r>
      <w:r w:rsidR="00430E7E" w:rsidRPr="00B62959">
        <w:rPr>
          <w:rFonts w:ascii="Arial" w:hAnsi="Arial" w:cs="Arial"/>
          <w:sz w:val="22"/>
          <w:szCs w:val="22"/>
        </w:rPr>
        <w:t xml:space="preserve"> comunicar a SESMT para que este </w:t>
      </w:r>
      <w:r w:rsidR="007A5D05" w:rsidRPr="00B62959">
        <w:rPr>
          <w:rFonts w:ascii="Arial" w:hAnsi="Arial" w:cs="Arial"/>
          <w:sz w:val="22"/>
          <w:szCs w:val="22"/>
        </w:rPr>
        <w:t>busque</w:t>
      </w:r>
      <w:r w:rsidR="00430E7E" w:rsidRPr="00B62959">
        <w:rPr>
          <w:rFonts w:ascii="Arial" w:hAnsi="Arial" w:cs="Arial"/>
          <w:sz w:val="22"/>
          <w:szCs w:val="22"/>
        </w:rPr>
        <w:t xml:space="preserve"> la eliminación</w:t>
      </w:r>
      <w:r w:rsidR="00B9315F" w:rsidRPr="00B62959">
        <w:rPr>
          <w:rFonts w:ascii="Arial" w:hAnsi="Arial" w:cs="Arial"/>
          <w:sz w:val="22"/>
          <w:szCs w:val="22"/>
        </w:rPr>
        <w:t xml:space="preserve"> de </w:t>
      </w:r>
      <w:r w:rsidR="00703C5E" w:rsidRPr="00B62959">
        <w:rPr>
          <w:rFonts w:ascii="Arial" w:hAnsi="Arial" w:cs="Arial"/>
          <w:sz w:val="22"/>
          <w:szCs w:val="22"/>
        </w:rPr>
        <w:t xml:space="preserve">peligros y </w:t>
      </w:r>
      <w:r w:rsidR="004A77B5" w:rsidRPr="00B62959">
        <w:rPr>
          <w:rFonts w:ascii="Arial" w:hAnsi="Arial" w:cs="Arial"/>
          <w:sz w:val="22"/>
          <w:szCs w:val="22"/>
        </w:rPr>
        <w:t>minimización</w:t>
      </w:r>
      <w:r w:rsidR="00430E7E" w:rsidRPr="00C07AFE">
        <w:rPr>
          <w:rFonts w:ascii="Arial" w:hAnsi="Arial" w:cs="Arial"/>
          <w:sz w:val="22"/>
          <w:szCs w:val="22"/>
        </w:rPr>
        <w:t xml:space="preserve"> de riesgo</w:t>
      </w:r>
      <w:r w:rsidR="00B9315F" w:rsidRPr="00C07AFE">
        <w:rPr>
          <w:rFonts w:ascii="Arial" w:hAnsi="Arial" w:cs="Arial"/>
          <w:sz w:val="22"/>
          <w:szCs w:val="22"/>
        </w:rPr>
        <w:t xml:space="preserve">s </w:t>
      </w:r>
      <w:r w:rsidR="004A77B5">
        <w:rPr>
          <w:rFonts w:ascii="Arial" w:hAnsi="Arial" w:cs="Arial"/>
          <w:sz w:val="22"/>
          <w:szCs w:val="22"/>
        </w:rPr>
        <w:t>para la</w:t>
      </w:r>
      <w:r w:rsidR="00B9315F" w:rsidRPr="00C07AFE">
        <w:rPr>
          <w:rFonts w:ascii="Arial" w:hAnsi="Arial" w:cs="Arial"/>
          <w:sz w:val="22"/>
          <w:szCs w:val="22"/>
        </w:rPr>
        <w:t xml:space="preserve"> salud y seguridad </w:t>
      </w:r>
      <w:r w:rsidR="004A77B5">
        <w:rPr>
          <w:rFonts w:ascii="Arial" w:hAnsi="Arial" w:cs="Arial"/>
          <w:sz w:val="22"/>
          <w:szCs w:val="22"/>
        </w:rPr>
        <w:t>en el trabajo.</w:t>
      </w:r>
    </w:p>
    <w:p w14:paraId="2E9F715C" w14:textId="77777777" w:rsidR="00AC2B39" w:rsidRPr="00AC2B39" w:rsidRDefault="00AC2B39" w:rsidP="00154237">
      <w:pPr>
        <w:tabs>
          <w:tab w:val="left" w:pos="890"/>
        </w:tabs>
        <w:spacing w:line="360" w:lineRule="auto"/>
        <w:ind w:left="960" w:firstLine="103"/>
        <w:jc w:val="both"/>
        <w:rPr>
          <w:rFonts w:ascii="Arial" w:hAnsi="Arial" w:cs="Arial"/>
          <w:sz w:val="22"/>
          <w:szCs w:val="22"/>
        </w:rPr>
      </w:pPr>
    </w:p>
    <w:p w14:paraId="35CCA58C" w14:textId="77777777" w:rsidR="002615BD" w:rsidRPr="00057577" w:rsidRDefault="00AC2B39" w:rsidP="00057577">
      <w:pPr>
        <w:pStyle w:val="Ttulo2"/>
        <w:numPr>
          <w:ilvl w:val="0"/>
          <w:numId w:val="0"/>
        </w:numPr>
        <w:ind w:left="1568" w:hanging="576"/>
        <w:rPr>
          <w:rFonts w:ascii="Arial" w:hAnsi="Arial"/>
          <w:szCs w:val="22"/>
        </w:rPr>
      </w:pPr>
      <w:bookmarkStart w:id="5" w:name="_Toc152678301"/>
      <w:r w:rsidRPr="00057577">
        <w:rPr>
          <w:rFonts w:ascii="Arial" w:hAnsi="Arial"/>
          <w:szCs w:val="22"/>
        </w:rPr>
        <w:t>3.2</w:t>
      </w:r>
      <w:r w:rsidR="008E3C5E" w:rsidRPr="00057577">
        <w:rPr>
          <w:rFonts w:ascii="Arial" w:hAnsi="Arial"/>
          <w:szCs w:val="22"/>
        </w:rPr>
        <w:t>.</w:t>
      </w:r>
      <w:r w:rsidRPr="00057577">
        <w:rPr>
          <w:rFonts w:ascii="Arial" w:hAnsi="Arial"/>
          <w:szCs w:val="22"/>
        </w:rPr>
        <w:t xml:space="preserve"> Defini</w:t>
      </w:r>
      <w:r w:rsidR="00430E7E">
        <w:rPr>
          <w:rFonts w:ascii="Arial" w:hAnsi="Arial"/>
          <w:szCs w:val="22"/>
        </w:rPr>
        <w:t>ciones</w:t>
      </w:r>
      <w:bookmarkEnd w:id="5"/>
    </w:p>
    <w:p w14:paraId="06F7BE82" w14:textId="77777777" w:rsidR="00AC2B39" w:rsidRPr="00AC2B39" w:rsidRDefault="00430E7E" w:rsidP="00154237">
      <w:pPr>
        <w:pStyle w:val="OGPRC"/>
        <w:tabs>
          <w:tab w:val="left" w:pos="890"/>
        </w:tabs>
        <w:ind w:left="960" w:firstLine="33"/>
        <w:jc w:val="both"/>
        <w:rPr>
          <w:rFonts w:ascii="Arial" w:hAnsi="Arial" w:cs="Arial"/>
          <w:sz w:val="22"/>
          <w:szCs w:val="22"/>
        </w:rPr>
      </w:pPr>
      <w:r w:rsidRPr="004A77B5">
        <w:rPr>
          <w:rFonts w:ascii="Arial" w:hAnsi="Arial" w:cs="Arial"/>
          <w:b/>
          <w:bCs/>
          <w:sz w:val="22"/>
          <w:szCs w:val="22"/>
        </w:rPr>
        <w:t>Terceros</w:t>
      </w:r>
      <w:r w:rsidR="00F46A4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Trabaj</w:t>
      </w:r>
      <w:r w:rsidR="00851D87" w:rsidRPr="00AC2B39">
        <w:rPr>
          <w:rFonts w:ascii="Arial" w:hAnsi="Arial" w:cs="Arial"/>
          <w:sz w:val="22"/>
          <w:szCs w:val="22"/>
        </w:rPr>
        <w:t>adores</w:t>
      </w:r>
      <w:r>
        <w:rPr>
          <w:rFonts w:ascii="Arial" w:hAnsi="Arial" w:cs="Arial"/>
          <w:sz w:val="22"/>
          <w:szCs w:val="22"/>
        </w:rPr>
        <w:t xml:space="preserve"> subcontratados, bien como, trabajadores de clientes y prove</w:t>
      </w:r>
      <w:r w:rsidR="007D26B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dores desempeñando actividades en</w:t>
      </w:r>
      <w:r w:rsidR="007D26BA">
        <w:rPr>
          <w:rFonts w:ascii="Arial" w:hAnsi="Arial" w:cs="Arial"/>
          <w:sz w:val="22"/>
          <w:szCs w:val="22"/>
        </w:rPr>
        <w:t xml:space="preserve"> la empresa. </w:t>
      </w:r>
      <w:r w:rsidR="00851D87" w:rsidRPr="00AC2B39">
        <w:rPr>
          <w:rFonts w:ascii="Arial" w:hAnsi="Arial" w:cs="Arial"/>
          <w:sz w:val="22"/>
          <w:szCs w:val="22"/>
        </w:rPr>
        <w:t xml:space="preserve"> </w:t>
      </w:r>
    </w:p>
    <w:p w14:paraId="6954421D" w14:textId="77777777" w:rsidR="002615BD" w:rsidRDefault="002615BD" w:rsidP="00154237">
      <w:pPr>
        <w:pStyle w:val="OGPRC"/>
        <w:tabs>
          <w:tab w:val="left" w:pos="890"/>
        </w:tabs>
        <w:ind w:left="960" w:firstLine="33"/>
        <w:jc w:val="both"/>
        <w:rPr>
          <w:rFonts w:ascii="Arial" w:hAnsi="Arial" w:cs="Arial"/>
          <w:sz w:val="22"/>
          <w:szCs w:val="22"/>
        </w:rPr>
      </w:pPr>
      <w:r w:rsidRPr="006308D3">
        <w:rPr>
          <w:rFonts w:ascii="Arial" w:hAnsi="Arial" w:cs="Arial"/>
          <w:b/>
          <w:bCs/>
          <w:sz w:val="22"/>
          <w:szCs w:val="22"/>
        </w:rPr>
        <w:t>SESMT</w:t>
      </w:r>
      <w:r w:rsidR="00F46A46">
        <w:rPr>
          <w:rFonts w:ascii="Arial" w:hAnsi="Arial" w:cs="Arial"/>
          <w:sz w:val="22"/>
          <w:szCs w:val="22"/>
        </w:rPr>
        <w:t>:</w:t>
      </w:r>
      <w:r w:rsidRPr="00AC2B39">
        <w:rPr>
          <w:rFonts w:ascii="Arial" w:hAnsi="Arial" w:cs="Arial"/>
          <w:sz w:val="22"/>
          <w:szCs w:val="22"/>
        </w:rPr>
        <w:t xml:space="preserve"> </w:t>
      </w:r>
      <w:r w:rsidR="00647CB6" w:rsidRPr="00AC2B39">
        <w:rPr>
          <w:rFonts w:ascii="Arial" w:hAnsi="Arial" w:cs="Arial"/>
          <w:sz w:val="22"/>
          <w:szCs w:val="22"/>
        </w:rPr>
        <w:t>Área d</w:t>
      </w:r>
      <w:r w:rsidR="007D26BA">
        <w:rPr>
          <w:rFonts w:ascii="Arial" w:hAnsi="Arial" w:cs="Arial"/>
          <w:sz w:val="22"/>
          <w:szCs w:val="22"/>
        </w:rPr>
        <w:t xml:space="preserve">e la empresa responsable por los Servicios </w:t>
      </w:r>
      <w:r w:rsidR="00F229FE">
        <w:rPr>
          <w:rFonts w:ascii="Arial" w:hAnsi="Arial" w:cs="Arial"/>
          <w:sz w:val="22"/>
          <w:szCs w:val="22"/>
        </w:rPr>
        <w:t>Especializados</w:t>
      </w:r>
      <w:r w:rsidR="007D26BA">
        <w:rPr>
          <w:rFonts w:ascii="Arial" w:hAnsi="Arial" w:cs="Arial"/>
          <w:sz w:val="22"/>
          <w:szCs w:val="22"/>
        </w:rPr>
        <w:t xml:space="preserve"> en </w:t>
      </w:r>
      <w:r w:rsidR="00F229FE">
        <w:rPr>
          <w:rFonts w:ascii="Arial" w:hAnsi="Arial" w:cs="Arial"/>
          <w:sz w:val="22"/>
          <w:szCs w:val="22"/>
        </w:rPr>
        <w:t>Ingeniería</w:t>
      </w:r>
      <w:r w:rsidR="007D26BA">
        <w:rPr>
          <w:rFonts w:ascii="Arial" w:hAnsi="Arial" w:cs="Arial"/>
          <w:sz w:val="22"/>
          <w:szCs w:val="22"/>
        </w:rPr>
        <w:t xml:space="preserve"> de Seguridad y en Medicina del Trabajo. </w:t>
      </w:r>
    </w:p>
    <w:p w14:paraId="607937E9" w14:textId="77777777" w:rsidR="004A77B5" w:rsidRDefault="004A77B5" w:rsidP="00154237">
      <w:pPr>
        <w:pStyle w:val="OGPRC"/>
        <w:tabs>
          <w:tab w:val="left" w:pos="890"/>
        </w:tabs>
        <w:ind w:left="960" w:firstLine="33"/>
        <w:jc w:val="both"/>
        <w:rPr>
          <w:rFonts w:ascii="Arial" w:hAnsi="Arial" w:cs="Arial"/>
          <w:sz w:val="22"/>
          <w:szCs w:val="22"/>
        </w:rPr>
      </w:pPr>
      <w:r w:rsidRPr="006308D3">
        <w:rPr>
          <w:rFonts w:ascii="Arial" w:hAnsi="Arial" w:cs="Arial"/>
          <w:b/>
          <w:bCs/>
          <w:sz w:val="22"/>
          <w:szCs w:val="22"/>
        </w:rPr>
        <w:t>SST</w:t>
      </w:r>
      <w:r w:rsidR="00F46A46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Seguridad y Salud en el Trabajo.</w:t>
      </w:r>
    </w:p>
    <w:p w14:paraId="2562DCA2" w14:textId="77777777" w:rsidR="004A77B5" w:rsidRDefault="004F7800" w:rsidP="004A77B5">
      <w:pPr>
        <w:pStyle w:val="OGPRC"/>
        <w:tabs>
          <w:tab w:val="left" w:pos="890"/>
        </w:tabs>
        <w:ind w:left="960" w:firstLine="33"/>
        <w:jc w:val="both"/>
        <w:rPr>
          <w:rFonts w:ascii="Arial" w:hAnsi="Arial" w:cs="Arial"/>
          <w:sz w:val="22"/>
          <w:szCs w:val="22"/>
        </w:rPr>
      </w:pPr>
      <w:r w:rsidRPr="006308D3">
        <w:rPr>
          <w:rFonts w:ascii="Arial" w:hAnsi="Arial" w:cs="Arial"/>
          <w:b/>
          <w:bCs/>
          <w:sz w:val="22"/>
          <w:szCs w:val="22"/>
        </w:rPr>
        <w:t>Peligro:</w:t>
      </w:r>
      <w:r w:rsidRPr="00C07AFE">
        <w:rPr>
          <w:rFonts w:ascii="Arial" w:hAnsi="Arial" w:cs="Arial"/>
          <w:sz w:val="22"/>
          <w:szCs w:val="22"/>
        </w:rPr>
        <w:t xml:space="preserve"> </w:t>
      </w:r>
      <w:r w:rsidR="00F46A46">
        <w:rPr>
          <w:rFonts w:ascii="Arial" w:hAnsi="Arial" w:cs="Arial"/>
          <w:sz w:val="22"/>
          <w:szCs w:val="22"/>
        </w:rPr>
        <w:t>F</w:t>
      </w:r>
      <w:r w:rsidRPr="00C07AFE">
        <w:rPr>
          <w:rFonts w:ascii="Arial" w:hAnsi="Arial" w:cs="Arial"/>
          <w:sz w:val="22"/>
          <w:szCs w:val="22"/>
        </w:rPr>
        <w:t>uente con el potencial de causar lesiones y problemas de salud</w:t>
      </w:r>
      <w:r w:rsidR="004A77B5">
        <w:rPr>
          <w:rFonts w:ascii="Arial" w:hAnsi="Arial" w:cs="Arial"/>
          <w:sz w:val="22"/>
          <w:szCs w:val="22"/>
        </w:rPr>
        <w:t>.</w:t>
      </w:r>
    </w:p>
    <w:p w14:paraId="5CB6F769" w14:textId="77777777" w:rsidR="004A77B5" w:rsidRDefault="004A77B5" w:rsidP="004A77B5">
      <w:pPr>
        <w:pStyle w:val="OGPRC"/>
        <w:tabs>
          <w:tab w:val="left" w:pos="890"/>
        </w:tabs>
        <w:ind w:left="960" w:firstLine="33"/>
        <w:jc w:val="both"/>
        <w:rPr>
          <w:rFonts w:ascii="Arial" w:hAnsi="Arial" w:cs="Arial"/>
          <w:sz w:val="22"/>
          <w:szCs w:val="22"/>
        </w:rPr>
      </w:pPr>
      <w:r w:rsidRPr="006308D3">
        <w:rPr>
          <w:rFonts w:ascii="Arial" w:hAnsi="Arial" w:cs="Arial"/>
          <w:b/>
          <w:bCs/>
          <w:sz w:val="22"/>
          <w:szCs w:val="22"/>
        </w:rPr>
        <w:lastRenderedPageBreak/>
        <w:t>Riesgo:</w:t>
      </w:r>
      <w:r w:rsidRPr="004A77B5">
        <w:rPr>
          <w:rFonts w:ascii="Arial" w:hAnsi="Arial" w:cs="Arial"/>
          <w:sz w:val="22"/>
          <w:szCs w:val="22"/>
        </w:rPr>
        <w:t xml:space="preserve"> </w:t>
      </w:r>
      <w:r w:rsidR="00F46A46">
        <w:rPr>
          <w:rFonts w:ascii="Arial" w:hAnsi="Arial" w:cs="Arial"/>
          <w:sz w:val="22"/>
          <w:szCs w:val="22"/>
        </w:rPr>
        <w:t>E</w:t>
      </w:r>
      <w:r w:rsidRPr="004A77B5">
        <w:rPr>
          <w:rFonts w:ascii="Arial" w:hAnsi="Arial" w:cs="Arial"/>
          <w:sz w:val="22"/>
          <w:szCs w:val="22"/>
        </w:rPr>
        <w:t>fecto de la incertidumbre.</w:t>
      </w:r>
    </w:p>
    <w:p w14:paraId="723E58B3" w14:textId="77777777" w:rsidR="004A77B5" w:rsidRDefault="004F7800" w:rsidP="004A77B5">
      <w:pPr>
        <w:pStyle w:val="OGPRC"/>
        <w:tabs>
          <w:tab w:val="left" w:pos="890"/>
        </w:tabs>
        <w:ind w:left="960" w:firstLine="33"/>
        <w:jc w:val="both"/>
        <w:rPr>
          <w:rFonts w:ascii="Arial" w:hAnsi="Arial" w:cs="Arial"/>
          <w:sz w:val="22"/>
          <w:szCs w:val="22"/>
        </w:rPr>
      </w:pPr>
      <w:r w:rsidRPr="006308D3">
        <w:rPr>
          <w:rFonts w:ascii="Arial" w:hAnsi="Arial" w:cs="Arial"/>
          <w:b/>
          <w:bCs/>
          <w:sz w:val="22"/>
          <w:szCs w:val="22"/>
        </w:rPr>
        <w:t>R</w:t>
      </w:r>
      <w:r w:rsidR="004A77B5" w:rsidRPr="006308D3">
        <w:rPr>
          <w:rFonts w:ascii="Arial" w:hAnsi="Arial" w:cs="Arial"/>
          <w:b/>
          <w:bCs/>
          <w:sz w:val="22"/>
          <w:szCs w:val="22"/>
        </w:rPr>
        <w:t>iesgo para la SST:</w:t>
      </w:r>
      <w:r w:rsidR="004A77B5">
        <w:rPr>
          <w:rFonts w:ascii="Arial" w:hAnsi="Arial" w:cs="Arial"/>
          <w:sz w:val="22"/>
          <w:szCs w:val="22"/>
        </w:rPr>
        <w:t xml:space="preserve"> </w:t>
      </w:r>
      <w:r w:rsidR="00F46A46">
        <w:rPr>
          <w:rFonts w:ascii="Arial" w:hAnsi="Arial" w:cs="Arial"/>
          <w:sz w:val="22"/>
          <w:szCs w:val="22"/>
        </w:rPr>
        <w:t>C</w:t>
      </w:r>
      <w:r w:rsidR="004A77B5" w:rsidRPr="004A77B5">
        <w:rPr>
          <w:rFonts w:ascii="Arial" w:hAnsi="Arial" w:cs="Arial"/>
          <w:sz w:val="22"/>
          <w:szCs w:val="22"/>
        </w:rPr>
        <w:t>ombinación de la probabilidad de que ocurran eventos o exposiciones peligrosos relacionados con el trabajo y la severidad de la lesión y deterioro de la salud (3.18) que pueden causar los eventos o exposiciones</w:t>
      </w:r>
      <w:r w:rsidR="004A77B5">
        <w:rPr>
          <w:rFonts w:ascii="Arial" w:hAnsi="Arial" w:cs="Arial"/>
          <w:sz w:val="22"/>
          <w:szCs w:val="22"/>
        </w:rPr>
        <w:t>.</w:t>
      </w:r>
    </w:p>
    <w:p w14:paraId="5CDDB7E6" w14:textId="77777777" w:rsidR="00703C5E" w:rsidRDefault="004F7800" w:rsidP="004A77B5">
      <w:pPr>
        <w:pStyle w:val="OGPRC"/>
        <w:tabs>
          <w:tab w:val="left" w:pos="890"/>
        </w:tabs>
        <w:ind w:left="960" w:firstLine="33"/>
        <w:jc w:val="both"/>
        <w:rPr>
          <w:rFonts w:ascii="Arial" w:hAnsi="Arial" w:cs="Arial"/>
          <w:sz w:val="22"/>
          <w:szCs w:val="22"/>
        </w:rPr>
      </w:pPr>
      <w:r w:rsidRPr="006308D3">
        <w:rPr>
          <w:rFonts w:ascii="Arial" w:hAnsi="Arial" w:cs="Arial"/>
          <w:b/>
          <w:bCs/>
          <w:sz w:val="22"/>
          <w:szCs w:val="22"/>
        </w:rPr>
        <w:t>Incidente:</w:t>
      </w:r>
      <w:r w:rsidRPr="00C07AFE">
        <w:rPr>
          <w:rFonts w:ascii="Arial" w:hAnsi="Arial" w:cs="Arial"/>
          <w:sz w:val="22"/>
          <w:szCs w:val="22"/>
        </w:rPr>
        <w:t xml:space="preserve"> </w:t>
      </w:r>
      <w:r w:rsidR="00F46A46">
        <w:rPr>
          <w:rFonts w:ascii="Arial" w:hAnsi="Arial" w:cs="Arial"/>
          <w:sz w:val="22"/>
          <w:szCs w:val="22"/>
        </w:rPr>
        <w:t>S</w:t>
      </w:r>
      <w:r w:rsidR="00A6479B" w:rsidRPr="00A6479B">
        <w:rPr>
          <w:rFonts w:ascii="Arial" w:hAnsi="Arial" w:cs="Arial"/>
          <w:sz w:val="22"/>
          <w:szCs w:val="22"/>
        </w:rPr>
        <w:t>uceso que surge del trabajo o en el transcurso del trabajo que podría tener o tiene como resultado lesiones y deterioro de la salud</w:t>
      </w:r>
      <w:r w:rsidRPr="00C07AFE">
        <w:rPr>
          <w:rFonts w:ascii="Arial" w:hAnsi="Arial" w:cs="Arial"/>
          <w:sz w:val="22"/>
          <w:szCs w:val="22"/>
        </w:rPr>
        <w:t xml:space="preserve">. </w:t>
      </w:r>
    </w:p>
    <w:p w14:paraId="40E4C98C" w14:textId="77777777" w:rsidR="00A360E5" w:rsidRPr="00B62959" w:rsidRDefault="00703C5E" w:rsidP="00154237">
      <w:pPr>
        <w:pStyle w:val="OGPRC"/>
        <w:ind w:left="960"/>
        <w:jc w:val="both"/>
        <w:rPr>
          <w:rFonts w:ascii="Arial" w:hAnsi="Arial" w:cs="Arial"/>
          <w:szCs w:val="22"/>
        </w:rPr>
      </w:pPr>
      <w:r w:rsidRPr="00B62959">
        <w:rPr>
          <w:rFonts w:ascii="Arial" w:hAnsi="Arial" w:cs="Arial"/>
          <w:szCs w:val="22"/>
        </w:rPr>
        <w:t xml:space="preserve">Nota de entrada 1: </w:t>
      </w:r>
      <w:r w:rsidR="004F7800" w:rsidRPr="00B62959">
        <w:rPr>
          <w:rFonts w:ascii="Arial" w:hAnsi="Arial" w:cs="Arial"/>
          <w:szCs w:val="22"/>
        </w:rPr>
        <w:t>Un incidente donde ocurren lesiones y problemas de salud a veces se conoce como un "accidente"</w:t>
      </w:r>
    </w:p>
    <w:p w14:paraId="2414D548" w14:textId="77777777" w:rsidR="004F7800" w:rsidRPr="004F7800" w:rsidRDefault="004F7800" w:rsidP="004F7800">
      <w:pPr>
        <w:pStyle w:val="OGPRC"/>
        <w:ind w:left="960"/>
        <w:jc w:val="both"/>
        <w:rPr>
          <w:rFonts w:ascii="Arial" w:hAnsi="Arial" w:cs="Arial"/>
          <w:szCs w:val="22"/>
        </w:rPr>
      </w:pPr>
      <w:r w:rsidRPr="00B62959">
        <w:rPr>
          <w:rFonts w:ascii="Arial" w:hAnsi="Arial" w:cs="Arial"/>
          <w:szCs w:val="22"/>
        </w:rPr>
        <w:t xml:space="preserve">Nota de entrada 2: </w:t>
      </w:r>
      <w:r w:rsidR="00703C5E" w:rsidRPr="00B62959">
        <w:rPr>
          <w:rFonts w:ascii="Arial" w:hAnsi="Arial" w:cs="Arial"/>
          <w:szCs w:val="22"/>
        </w:rPr>
        <w:t>Un incidente donde no se han producido lesiones y deterioro de la salud, pero tiene el potencial para causarlos, puede denominarse un “</w:t>
      </w:r>
      <w:proofErr w:type="spellStart"/>
      <w:r w:rsidR="00703C5E" w:rsidRPr="00B62959">
        <w:rPr>
          <w:rFonts w:ascii="Arial" w:hAnsi="Arial" w:cs="Arial"/>
          <w:szCs w:val="22"/>
        </w:rPr>
        <w:t>cuasi-accidente</w:t>
      </w:r>
      <w:proofErr w:type="spellEnd"/>
      <w:r w:rsidR="00703C5E" w:rsidRPr="00B62959">
        <w:rPr>
          <w:rFonts w:ascii="Arial" w:hAnsi="Arial" w:cs="Arial"/>
          <w:szCs w:val="22"/>
        </w:rPr>
        <w:t>”.</w:t>
      </w:r>
    </w:p>
    <w:p w14:paraId="4E46E154" w14:textId="77777777" w:rsidR="004F7800" w:rsidRPr="00AC2B39" w:rsidRDefault="004F7800" w:rsidP="004F7800">
      <w:pPr>
        <w:pStyle w:val="OGPRC"/>
        <w:ind w:left="960"/>
        <w:jc w:val="both"/>
        <w:rPr>
          <w:rFonts w:ascii="Arial" w:hAnsi="Arial" w:cs="Arial"/>
          <w:sz w:val="22"/>
          <w:szCs w:val="22"/>
        </w:rPr>
      </w:pPr>
    </w:p>
    <w:p w14:paraId="103F39DF" w14:textId="77777777" w:rsidR="00A360E5" w:rsidRPr="00AC2B39" w:rsidRDefault="00A360E5" w:rsidP="00154237">
      <w:pPr>
        <w:pStyle w:val="Ttulo1"/>
        <w:tabs>
          <w:tab w:val="clear" w:pos="958"/>
          <w:tab w:val="clear" w:pos="1424"/>
          <w:tab w:val="num" w:pos="960"/>
        </w:tabs>
        <w:ind w:left="960" w:hanging="600"/>
        <w:jc w:val="both"/>
        <w:rPr>
          <w:rFonts w:ascii="Arial" w:hAnsi="Arial" w:cs="Arial"/>
          <w:sz w:val="22"/>
          <w:szCs w:val="22"/>
        </w:rPr>
      </w:pPr>
      <w:bookmarkStart w:id="6" w:name="_Hlk498096805"/>
      <w:bookmarkStart w:id="7" w:name="_Toc152678302"/>
      <w:r w:rsidRPr="00AC2B39">
        <w:rPr>
          <w:rFonts w:ascii="Arial" w:hAnsi="Arial" w:cs="Arial"/>
          <w:sz w:val="22"/>
          <w:szCs w:val="22"/>
        </w:rPr>
        <w:t>Responsabilidad</w:t>
      </w:r>
      <w:bookmarkEnd w:id="7"/>
    </w:p>
    <w:bookmarkEnd w:id="6"/>
    <w:p w14:paraId="649BD822" w14:textId="77777777" w:rsidR="00B053CC" w:rsidRPr="00605D63" w:rsidRDefault="00C07AFE" w:rsidP="001C1D79">
      <w:pPr>
        <w:pStyle w:val="OGPRC"/>
        <w:ind w:left="960"/>
        <w:jc w:val="both"/>
        <w:rPr>
          <w:rFonts w:ascii="Arial" w:hAnsi="Arial" w:cs="Arial"/>
          <w:sz w:val="22"/>
          <w:szCs w:val="22"/>
        </w:rPr>
      </w:pPr>
      <w:r w:rsidRPr="00C07AFE">
        <w:rPr>
          <w:rStyle w:val="st1"/>
          <w:rFonts w:ascii="Arial" w:hAnsi="Arial" w:cs="Arial"/>
          <w:sz w:val="22"/>
          <w:szCs w:val="22"/>
        </w:rPr>
        <w:t xml:space="preserve">Es de competencia de </w:t>
      </w:r>
      <w:r w:rsidR="009D50D1" w:rsidRPr="00605D63">
        <w:rPr>
          <w:rFonts w:ascii="Arial" w:hAnsi="Arial" w:cs="Arial"/>
          <w:sz w:val="22"/>
          <w:szCs w:val="22"/>
        </w:rPr>
        <w:t>l</w:t>
      </w:r>
      <w:r w:rsidR="00B053CC" w:rsidRPr="00605D63">
        <w:rPr>
          <w:rFonts w:ascii="Arial" w:hAnsi="Arial" w:cs="Arial"/>
          <w:sz w:val="22"/>
          <w:szCs w:val="22"/>
        </w:rPr>
        <w:t>a</w:t>
      </w:r>
      <w:r w:rsidR="009D50D1" w:rsidRPr="00605D63">
        <w:rPr>
          <w:rFonts w:ascii="Arial" w:hAnsi="Arial" w:cs="Arial"/>
          <w:sz w:val="22"/>
          <w:szCs w:val="22"/>
        </w:rPr>
        <w:t xml:space="preserve"> alta dirección, a</w:t>
      </w:r>
      <w:r w:rsidR="00B053CC" w:rsidRPr="00605D63">
        <w:rPr>
          <w:rFonts w:ascii="Arial" w:hAnsi="Arial" w:cs="Arial"/>
          <w:sz w:val="22"/>
          <w:szCs w:val="22"/>
        </w:rPr>
        <w:t xml:space="preserve"> los gestores TIVIT y a SESMT de las unidades TIVIT en conjunto con SESMT Corporativo atender y respetar las definiciones mencionadas en esta política. </w:t>
      </w:r>
    </w:p>
    <w:p w14:paraId="49BF6C10" w14:textId="77777777" w:rsidR="0056366F" w:rsidRDefault="00C07AFE" w:rsidP="005636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6"/>
        <w:jc w:val="both"/>
        <w:rPr>
          <w:rFonts w:ascii="Arial" w:hAnsi="Arial" w:cs="Arial"/>
          <w:color w:val="212121"/>
          <w:sz w:val="22"/>
          <w:szCs w:val="22"/>
          <w:lang w:val="es-ES"/>
        </w:rPr>
      </w:pPr>
      <w:r w:rsidRPr="00C07AFE">
        <w:rPr>
          <w:rStyle w:val="st1"/>
          <w:rFonts w:ascii="Arial" w:hAnsi="Arial" w:cs="Arial"/>
          <w:sz w:val="22"/>
          <w:szCs w:val="22"/>
        </w:rPr>
        <w:t xml:space="preserve">Es de competencia de </w:t>
      </w:r>
      <w:r w:rsidR="009D50D1" w:rsidRPr="00605D63">
        <w:rPr>
          <w:rFonts w:ascii="Arial" w:hAnsi="Arial" w:cs="Arial"/>
          <w:sz w:val="22"/>
          <w:szCs w:val="22"/>
        </w:rPr>
        <w:t xml:space="preserve">la alta dirección y los gestores </w:t>
      </w:r>
      <w:r w:rsidR="001C1D79" w:rsidRPr="00605D63">
        <w:rPr>
          <w:rFonts w:ascii="Arial" w:hAnsi="Arial" w:cs="Arial"/>
          <w:sz w:val="22"/>
          <w:szCs w:val="22"/>
        </w:rPr>
        <w:t xml:space="preserve">TIVIT </w:t>
      </w:r>
      <w:r w:rsidR="009D50D1" w:rsidRPr="00605D63">
        <w:rPr>
          <w:rFonts w:ascii="Arial" w:hAnsi="Arial" w:cs="Arial"/>
          <w:sz w:val="22"/>
          <w:szCs w:val="22"/>
        </w:rPr>
        <w:t xml:space="preserve">el compromiso </w:t>
      </w:r>
      <w:r w:rsidR="00A445BD">
        <w:rPr>
          <w:rFonts w:ascii="Arial" w:hAnsi="Arial" w:cs="Arial"/>
          <w:sz w:val="22"/>
          <w:szCs w:val="22"/>
        </w:rPr>
        <w:t>de</w:t>
      </w:r>
      <w:r w:rsidR="009D50D1" w:rsidRPr="00605D63">
        <w:rPr>
          <w:rFonts w:ascii="Arial" w:hAnsi="Arial" w:cs="Arial"/>
          <w:sz w:val="22"/>
          <w:szCs w:val="22"/>
        </w:rPr>
        <w:t xml:space="preserve"> </w:t>
      </w:r>
      <w:r w:rsidR="001C1D79" w:rsidRPr="00605D63">
        <w:rPr>
          <w:rFonts w:ascii="Arial" w:hAnsi="Arial" w:cs="Arial"/>
          <w:color w:val="212121"/>
          <w:sz w:val="22"/>
          <w:szCs w:val="22"/>
          <w:lang w:val="es-ES"/>
        </w:rPr>
        <w:t xml:space="preserve">asignar recursos para el presupuesto necesario para el desarrollo de las actividades pertinentes al </w:t>
      </w:r>
      <w:r w:rsidR="00A445BD">
        <w:rPr>
          <w:rFonts w:ascii="Arial" w:hAnsi="Arial" w:cs="Arial"/>
          <w:color w:val="212121"/>
          <w:sz w:val="22"/>
          <w:szCs w:val="22"/>
          <w:lang w:val="es-ES"/>
        </w:rPr>
        <w:t>S</w:t>
      </w:r>
      <w:r w:rsidR="001C1D79" w:rsidRPr="00605D63">
        <w:rPr>
          <w:rFonts w:ascii="Arial" w:hAnsi="Arial" w:cs="Arial"/>
          <w:color w:val="212121"/>
          <w:sz w:val="22"/>
          <w:szCs w:val="22"/>
          <w:lang w:val="es-ES"/>
        </w:rPr>
        <w:t xml:space="preserve">istema de </w:t>
      </w:r>
      <w:r w:rsidR="00A445BD">
        <w:rPr>
          <w:rFonts w:ascii="Arial" w:hAnsi="Arial" w:cs="Arial"/>
          <w:color w:val="212121"/>
          <w:sz w:val="22"/>
          <w:szCs w:val="22"/>
          <w:lang w:val="es-ES"/>
        </w:rPr>
        <w:t>G</w:t>
      </w:r>
      <w:r w:rsidR="001C1D79" w:rsidRPr="00605D63">
        <w:rPr>
          <w:rFonts w:ascii="Arial" w:hAnsi="Arial" w:cs="Arial"/>
          <w:color w:val="212121"/>
          <w:sz w:val="22"/>
          <w:szCs w:val="22"/>
          <w:lang w:val="es-ES"/>
        </w:rPr>
        <w:t xml:space="preserve">estión de </w:t>
      </w:r>
      <w:r w:rsidR="00A445BD">
        <w:rPr>
          <w:rFonts w:ascii="Arial" w:hAnsi="Arial" w:cs="Arial"/>
          <w:color w:val="212121"/>
          <w:sz w:val="22"/>
          <w:szCs w:val="22"/>
          <w:lang w:val="es-ES"/>
        </w:rPr>
        <w:t>S</w:t>
      </w:r>
      <w:r w:rsidR="001C1D79" w:rsidRPr="00605D63">
        <w:rPr>
          <w:rFonts w:ascii="Arial" w:hAnsi="Arial" w:cs="Arial"/>
          <w:color w:val="212121"/>
          <w:sz w:val="22"/>
          <w:szCs w:val="22"/>
          <w:lang w:val="es-ES"/>
        </w:rPr>
        <w:t xml:space="preserve">eguridad y </w:t>
      </w:r>
      <w:r w:rsidR="00A445BD">
        <w:rPr>
          <w:rFonts w:ascii="Arial" w:hAnsi="Arial" w:cs="Arial"/>
          <w:color w:val="212121"/>
          <w:sz w:val="22"/>
          <w:szCs w:val="22"/>
          <w:lang w:val="es-ES"/>
        </w:rPr>
        <w:t>S</w:t>
      </w:r>
      <w:r w:rsidR="001C1D79" w:rsidRPr="00605D63">
        <w:rPr>
          <w:rFonts w:ascii="Arial" w:hAnsi="Arial" w:cs="Arial"/>
          <w:color w:val="212121"/>
          <w:sz w:val="22"/>
          <w:szCs w:val="22"/>
          <w:lang w:val="es-ES"/>
        </w:rPr>
        <w:t xml:space="preserve">alud </w:t>
      </w:r>
      <w:r w:rsidR="00A445BD">
        <w:rPr>
          <w:rFonts w:ascii="Arial" w:hAnsi="Arial" w:cs="Arial"/>
          <w:color w:val="212121"/>
          <w:sz w:val="22"/>
          <w:szCs w:val="22"/>
          <w:lang w:val="es-ES"/>
        </w:rPr>
        <w:t>en el Trabajo</w:t>
      </w:r>
      <w:r w:rsidR="001C1D79" w:rsidRPr="00605D63">
        <w:rPr>
          <w:rFonts w:ascii="Arial" w:hAnsi="Arial" w:cs="Arial"/>
          <w:color w:val="212121"/>
          <w:sz w:val="22"/>
          <w:szCs w:val="22"/>
          <w:lang w:val="es-ES"/>
        </w:rPr>
        <w:t>.</w:t>
      </w:r>
      <w:bookmarkStart w:id="8" w:name="_Hlk498096789"/>
    </w:p>
    <w:p w14:paraId="4FA1883D" w14:textId="77777777" w:rsidR="00B053CC" w:rsidRPr="00C07AFE" w:rsidRDefault="00C07AFE" w:rsidP="005636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6"/>
        <w:jc w:val="both"/>
        <w:rPr>
          <w:rStyle w:val="st1"/>
          <w:rFonts w:ascii="Arial" w:hAnsi="Arial" w:cs="Arial"/>
          <w:sz w:val="22"/>
          <w:szCs w:val="22"/>
        </w:rPr>
      </w:pPr>
      <w:r w:rsidRPr="00C07AFE">
        <w:rPr>
          <w:rStyle w:val="st1"/>
          <w:rFonts w:ascii="Arial" w:hAnsi="Arial" w:cs="Arial"/>
          <w:sz w:val="22"/>
          <w:szCs w:val="22"/>
        </w:rPr>
        <w:t xml:space="preserve">Es de competencia de </w:t>
      </w:r>
      <w:r w:rsidR="0056366F" w:rsidRPr="00C07AFE">
        <w:rPr>
          <w:rFonts w:ascii="Arial" w:hAnsi="Arial" w:cs="Arial"/>
          <w:sz w:val="22"/>
          <w:szCs w:val="22"/>
        </w:rPr>
        <w:t xml:space="preserve">la alta dirección </w:t>
      </w:r>
      <w:r w:rsidR="0056366F" w:rsidRPr="00C07AFE">
        <w:rPr>
          <w:rStyle w:val="st1"/>
          <w:rFonts w:ascii="Arial" w:hAnsi="Arial" w:cs="Arial"/>
          <w:sz w:val="22"/>
          <w:szCs w:val="22"/>
        </w:rPr>
        <w:t xml:space="preserve">nombrar oficiales para representar y/ o ayudar con ciertos asuntos </w:t>
      </w:r>
      <w:r w:rsidR="0056366F" w:rsidRPr="00B62959">
        <w:rPr>
          <w:rStyle w:val="st1"/>
          <w:rFonts w:ascii="Arial" w:hAnsi="Arial" w:cs="Arial"/>
          <w:sz w:val="22"/>
          <w:szCs w:val="22"/>
        </w:rPr>
        <w:t>pertinentes de SS</w:t>
      </w:r>
      <w:r w:rsidR="00A445BD" w:rsidRPr="00B62959">
        <w:rPr>
          <w:rStyle w:val="st1"/>
          <w:rFonts w:ascii="Arial" w:hAnsi="Arial" w:cs="Arial"/>
          <w:sz w:val="22"/>
          <w:szCs w:val="22"/>
        </w:rPr>
        <w:t>T</w:t>
      </w:r>
      <w:r w:rsidR="0056366F" w:rsidRPr="00B62959">
        <w:rPr>
          <w:rStyle w:val="st1"/>
          <w:rFonts w:ascii="Arial" w:hAnsi="Arial" w:cs="Arial"/>
          <w:sz w:val="22"/>
          <w:szCs w:val="22"/>
        </w:rPr>
        <w:t>.</w:t>
      </w:r>
    </w:p>
    <w:p w14:paraId="02F4719E" w14:textId="77777777" w:rsidR="0056366F" w:rsidRPr="0056366F" w:rsidRDefault="0056366F" w:rsidP="005636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6"/>
        <w:jc w:val="both"/>
        <w:rPr>
          <w:rStyle w:val="st1"/>
          <w:rFonts w:ascii="Arial" w:hAnsi="Arial" w:cs="Arial"/>
          <w:color w:val="212121"/>
          <w:sz w:val="22"/>
          <w:szCs w:val="22"/>
          <w:lang w:val="pt-BR"/>
        </w:rPr>
      </w:pPr>
    </w:p>
    <w:p w14:paraId="76B76BA0" w14:textId="77777777" w:rsidR="00A360E5" w:rsidRPr="00AC2B39" w:rsidRDefault="007D26BA" w:rsidP="00154237">
      <w:pPr>
        <w:pStyle w:val="Ttulo1"/>
        <w:tabs>
          <w:tab w:val="clear" w:pos="958"/>
          <w:tab w:val="clear" w:pos="1424"/>
          <w:tab w:val="num" w:pos="960"/>
        </w:tabs>
        <w:ind w:left="960" w:hanging="600"/>
        <w:jc w:val="both"/>
        <w:rPr>
          <w:rFonts w:ascii="Arial" w:hAnsi="Arial" w:cs="Arial"/>
          <w:sz w:val="22"/>
          <w:szCs w:val="22"/>
        </w:rPr>
      </w:pPr>
      <w:bookmarkStart w:id="9" w:name="_Toc152678303"/>
      <w:r>
        <w:rPr>
          <w:rFonts w:ascii="Arial" w:hAnsi="Arial" w:cs="Arial"/>
          <w:sz w:val="22"/>
          <w:szCs w:val="22"/>
        </w:rPr>
        <w:t>Descripción</w:t>
      </w:r>
      <w:r w:rsidR="00A360E5" w:rsidRPr="00AC2B39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 l</w:t>
      </w:r>
      <w:r w:rsidR="00A360E5" w:rsidRPr="00AC2B39">
        <w:rPr>
          <w:rFonts w:ascii="Arial" w:hAnsi="Arial" w:cs="Arial"/>
          <w:sz w:val="22"/>
          <w:szCs w:val="22"/>
        </w:rPr>
        <w:t xml:space="preserve">a </w:t>
      </w:r>
      <w:r w:rsidR="00D41DCA" w:rsidRPr="00AC2B39">
        <w:rPr>
          <w:rFonts w:ascii="Arial" w:hAnsi="Arial" w:cs="Arial"/>
          <w:sz w:val="22"/>
          <w:szCs w:val="22"/>
        </w:rPr>
        <w:t>Política</w:t>
      </w:r>
      <w:bookmarkEnd w:id="9"/>
    </w:p>
    <w:p w14:paraId="75A8BFED" w14:textId="77777777" w:rsidR="00A360E5" w:rsidRPr="003A25A9" w:rsidRDefault="008E3C5E" w:rsidP="008E3C5E">
      <w:pPr>
        <w:pStyle w:val="Ttulo2"/>
        <w:numPr>
          <w:ilvl w:val="0"/>
          <w:numId w:val="0"/>
        </w:numPr>
        <w:tabs>
          <w:tab w:val="clear" w:pos="890"/>
          <w:tab w:val="left" w:pos="1680"/>
        </w:tabs>
        <w:ind w:left="1568" w:hanging="576"/>
        <w:jc w:val="both"/>
        <w:rPr>
          <w:rFonts w:ascii="Arial" w:hAnsi="Arial"/>
          <w:szCs w:val="22"/>
        </w:rPr>
      </w:pPr>
      <w:bookmarkStart w:id="10" w:name="_Toc152678304"/>
      <w:bookmarkEnd w:id="8"/>
      <w:r>
        <w:rPr>
          <w:rFonts w:ascii="Arial" w:hAnsi="Arial"/>
          <w:szCs w:val="22"/>
        </w:rPr>
        <w:t xml:space="preserve">5.1. </w:t>
      </w:r>
      <w:r w:rsidR="00F229FE">
        <w:rPr>
          <w:rFonts w:ascii="Arial" w:hAnsi="Arial"/>
          <w:szCs w:val="22"/>
        </w:rPr>
        <w:t>Directrices</w:t>
      </w:r>
      <w:r w:rsidR="007D26BA">
        <w:rPr>
          <w:rFonts w:ascii="Arial" w:hAnsi="Arial"/>
          <w:szCs w:val="22"/>
        </w:rPr>
        <w:t xml:space="preserve"> de Seguridad</w:t>
      </w:r>
      <w:r w:rsidR="00434292" w:rsidRPr="003A25A9">
        <w:rPr>
          <w:rFonts w:ascii="Arial" w:hAnsi="Arial"/>
          <w:szCs w:val="22"/>
        </w:rPr>
        <w:t xml:space="preserve"> </w:t>
      </w:r>
      <w:r w:rsidR="007D26BA">
        <w:rPr>
          <w:rFonts w:ascii="Arial" w:hAnsi="Arial"/>
          <w:szCs w:val="22"/>
        </w:rPr>
        <w:t>y Salud en el Trabaj</w:t>
      </w:r>
      <w:r w:rsidR="00434292" w:rsidRPr="003A25A9">
        <w:rPr>
          <w:rFonts w:ascii="Arial" w:hAnsi="Arial"/>
          <w:szCs w:val="22"/>
        </w:rPr>
        <w:t>o</w:t>
      </w:r>
      <w:bookmarkEnd w:id="10"/>
    </w:p>
    <w:p w14:paraId="65D7E01B" w14:textId="77777777" w:rsidR="00D54A87" w:rsidRDefault="00D32FBD" w:rsidP="00154237">
      <w:pPr>
        <w:shd w:val="clear" w:color="auto" w:fill="FFFFFF"/>
        <w:spacing w:before="120" w:after="240" w:line="360" w:lineRule="auto"/>
        <w:ind w:left="993"/>
        <w:jc w:val="both"/>
        <w:rPr>
          <w:rFonts w:ascii="Arial" w:hAnsi="Arial" w:cs="Arial"/>
          <w:sz w:val="22"/>
          <w:szCs w:val="22"/>
        </w:rPr>
      </w:pPr>
      <w:bookmarkStart w:id="11" w:name="_Hlk497890681"/>
      <w:r>
        <w:rPr>
          <w:rFonts w:ascii="Arial" w:hAnsi="Arial" w:cs="Arial"/>
          <w:b/>
          <w:bCs/>
          <w:sz w:val="22"/>
          <w:szCs w:val="22"/>
        </w:rPr>
        <w:t xml:space="preserve">TIVIT </w:t>
      </w:r>
      <w:r w:rsidRPr="00605D63">
        <w:rPr>
          <w:rFonts w:ascii="Arial" w:hAnsi="Arial" w:cs="Arial"/>
          <w:b/>
          <w:bCs/>
          <w:sz w:val="22"/>
          <w:szCs w:val="22"/>
        </w:rPr>
        <w:t xml:space="preserve">a través de la alta dirección </w:t>
      </w:r>
      <w:r w:rsidR="00F229FE" w:rsidRPr="00605D63">
        <w:rPr>
          <w:rFonts w:ascii="Arial" w:hAnsi="Arial" w:cs="Arial"/>
          <w:b/>
          <w:bCs/>
          <w:sz w:val="22"/>
          <w:szCs w:val="22"/>
        </w:rPr>
        <w:t>actúa</w:t>
      </w:r>
      <w:r w:rsidR="004274BE" w:rsidRPr="00605D63">
        <w:rPr>
          <w:rFonts w:ascii="Arial" w:hAnsi="Arial" w:cs="Arial"/>
          <w:b/>
          <w:bCs/>
          <w:sz w:val="22"/>
          <w:szCs w:val="22"/>
        </w:rPr>
        <w:t xml:space="preserve"> con el compromiso de la mejora continua del </w:t>
      </w:r>
      <w:r w:rsidR="00A445BD">
        <w:rPr>
          <w:rFonts w:ascii="Arial" w:hAnsi="Arial" w:cs="Arial"/>
          <w:b/>
          <w:bCs/>
          <w:sz w:val="22"/>
          <w:szCs w:val="22"/>
        </w:rPr>
        <w:t>S</w:t>
      </w:r>
      <w:r w:rsidR="004274BE" w:rsidRPr="00605D63">
        <w:rPr>
          <w:rFonts w:ascii="Arial" w:hAnsi="Arial" w:cs="Arial"/>
          <w:b/>
          <w:bCs/>
          <w:sz w:val="22"/>
          <w:szCs w:val="22"/>
        </w:rPr>
        <w:t>istema</w:t>
      </w:r>
      <w:r w:rsidR="007D26BA" w:rsidRPr="00605D63">
        <w:rPr>
          <w:rFonts w:ascii="Arial" w:hAnsi="Arial" w:cs="Arial"/>
          <w:b/>
          <w:bCs/>
          <w:sz w:val="22"/>
          <w:szCs w:val="22"/>
        </w:rPr>
        <w:t xml:space="preserve"> </w:t>
      </w:r>
      <w:r w:rsidR="00A445BD">
        <w:rPr>
          <w:rFonts w:ascii="Arial" w:hAnsi="Arial" w:cs="Arial"/>
          <w:b/>
          <w:bCs/>
          <w:sz w:val="22"/>
          <w:szCs w:val="22"/>
        </w:rPr>
        <w:t>de G</w:t>
      </w:r>
      <w:r w:rsidR="007D26BA" w:rsidRPr="00605D63">
        <w:rPr>
          <w:rFonts w:ascii="Arial" w:hAnsi="Arial" w:cs="Arial"/>
          <w:b/>
          <w:bCs/>
          <w:sz w:val="22"/>
          <w:szCs w:val="22"/>
        </w:rPr>
        <w:t xml:space="preserve">estión </w:t>
      </w:r>
      <w:bookmarkEnd w:id="11"/>
      <w:r w:rsidR="007D26BA" w:rsidRPr="00605D63">
        <w:rPr>
          <w:rFonts w:ascii="Arial" w:hAnsi="Arial" w:cs="Arial"/>
          <w:b/>
          <w:bCs/>
          <w:sz w:val="22"/>
          <w:szCs w:val="22"/>
        </w:rPr>
        <w:t xml:space="preserve">de </w:t>
      </w:r>
      <w:r w:rsidR="00A445BD">
        <w:rPr>
          <w:rFonts w:ascii="Arial" w:hAnsi="Arial" w:cs="Arial"/>
          <w:b/>
          <w:bCs/>
          <w:sz w:val="22"/>
          <w:szCs w:val="22"/>
        </w:rPr>
        <w:t>S</w:t>
      </w:r>
      <w:r w:rsidR="007D26BA" w:rsidRPr="00605D63">
        <w:rPr>
          <w:rFonts w:ascii="Arial" w:hAnsi="Arial" w:cs="Arial"/>
          <w:b/>
          <w:bCs/>
          <w:sz w:val="22"/>
          <w:szCs w:val="22"/>
        </w:rPr>
        <w:t>eguridad</w:t>
      </w:r>
      <w:r w:rsidR="00A445BD">
        <w:rPr>
          <w:rFonts w:ascii="Arial" w:hAnsi="Arial" w:cs="Arial"/>
          <w:b/>
          <w:bCs/>
          <w:sz w:val="22"/>
          <w:szCs w:val="22"/>
        </w:rPr>
        <w:t xml:space="preserve"> y</w:t>
      </w:r>
      <w:r w:rsidR="007D26BA" w:rsidRPr="00605D63">
        <w:rPr>
          <w:rFonts w:ascii="Arial" w:hAnsi="Arial" w:cs="Arial"/>
          <w:b/>
          <w:bCs/>
          <w:sz w:val="22"/>
          <w:szCs w:val="22"/>
        </w:rPr>
        <w:t xml:space="preserve"> </w:t>
      </w:r>
      <w:r w:rsidR="00A445BD">
        <w:rPr>
          <w:rFonts w:ascii="Arial" w:hAnsi="Arial" w:cs="Arial"/>
          <w:b/>
          <w:bCs/>
          <w:sz w:val="22"/>
          <w:szCs w:val="22"/>
        </w:rPr>
        <w:t>S</w:t>
      </w:r>
      <w:r w:rsidR="007D26BA" w:rsidRPr="00605D63">
        <w:rPr>
          <w:rFonts w:ascii="Arial" w:hAnsi="Arial" w:cs="Arial"/>
          <w:b/>
          <w:bCs/>
          <w:sz w:val="22"/>
          <w:szCs w:val="22"/>
        </w:rPr>
        <w:t xml:space="preserve">alud </w:t>
      </w:r>
      <w:r w:rsidR="00A445BD">
        <w:rPr>
          <w:rFonts w:ascii="Arial" w:hAnsi="Arial" w:cs="Arial"/>
          <w:b/>
          <w:bCs/>
          <w:sz w:val="22"/>
          <w:szCs w:val="22"/>
        </w:rPr>
        <w:t>en el Trabajo</w:t>
      </w:r>
      <w:r w:rsidR="007D26BA" w:rsidRPr="00605D63">
        <w:rPr>
          <w:rFonts w:ascii="Arial" w:hAnsi="Arial" w:cs="Arial"/>
          <w:b/>
          <w:bCs/>
          <w:sz w:val="22"/>
          <w:szCs w:val="22"/>
        </w:rPr>
        <w:t xml:space="preserve"> para proporcionar</w:t>
      </w:r>
      <w:r w:rsidR="00320FF6" w:rsidRPr="00320FF6">
        <w:rPr>
          <w:rFonts w:ascii="Arial" w:hAnsi="Arial" w:cs="Arial"/>
          <w:b/>
          <w:bCs/>
          <w:sz w:val="22"/>
          <w:szCs w:val="22"/>
        </w:rPr>
        <w:t xml:space="preserve"> lugares de trabajo </w:t>
      </w:r>
      <w:r w:rsidR="007D26BA" w:rsidRPr="00605D63">
        <w:rPr>
          <w:rFonts w:ascii="Arial" w:hAnsi="Arial" w:cs="Arial"/>
          <w:b/>
          <w:bCs/>
          <w:sz w:val="22"/>
          <w:szCs w:val="22"/>
        </w:rPr>
        <w:t xml:space="preserve">seguro y saludable para evitar daños a la integridad física y </w:t>
      </w:r>
      <w:r w:rsidR="00320FF6">
        <w:rPr>
          <w:rFonts w:ascii="Arial" w:hAnsi="Arial" w:cs="Arial"/>
          <w:b/>
          <w:bCs/>
          <w:sz w:val="22"/>
          <w:szCs w:val="22"/>
        </w:rPr>
        <w:t>mental</w:t>
      </w:r>
      <w:r w:rsidR="007D26BA" w:rsidRPr="00605D63">
        <w:rPr>
          <w:rFonts w:ascii="Arial" w:hAnsi="Arial" w:cs="Arial"/>
          <w:b/>
          <w:bCs/>
          <w:sz w:val="22"/>
          <w:szCs w:val="22"/>
        </w:rPr>
        <w:t xml:space="preserve"> de sus </w:t>
      </w:r>
      <w:r w:rsidR="00320FF6">
        <w:rPr>
          <w:rFonts w:ascii="Arial" w:hAnsi="Arial" w:cs="Arial"/>
          <w:b/>
          <w:bCs/>
          <w:sz w:val="22"/>
          <w:szCs w:val="22"/>
        </w:rPr>
        <w:t>colaboradores</w:t>
      </w:r>
      <w:r w:rsidR="007D26BA" w:rsidRPr="00605D63">
        <w:rPr>
          <w:rFonts w:ascii="Arial" w:hAnsi="Arial" w:cs="Arial"/>
          <w:b/>
          <w:bCs/>
          <w:sz w:val="22"/>
          <w:szCs w:val="22"/>
        </w:rPr>
        <w:t xml:space="preserve"> y prestadores de servicios, a su patrimonio y al </w:t>
      </w:r>
      <w:r w:rsidR="00F229FE" w:rsidRPr="00605D63">
        <w:rPr>
          <w:rFonts w:ascii="Arial" w:hAnsi="Arial" w:cs="Arial"/>
          <w:b/>
          <w:bCs/>
          <w:sz w:val="22"/>
          <w:szCs w:val="22"/>
        </w:rPr>
        <w:t>medio</w:t>
      </w:r>
      <w:r w:rsidR="007D26BA" w:rsidRPr="00605D63">
        <w:rPr>
          <w:rFonts w:ascii="Arial" w:hAnsi="Arial" w:cs="Arial"/>
          <w:b/>
          <w:bCs/>
          <w:sz w:val="22"/>
          <w:szCs w:val="22"/>
        </w:rPr>
        <w:t xml:space="preserve"> ambiente.</w:t>
      </w:r>
      <w:r w:rsidR="007D26BA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25BD5323" w14:textId="77777777" w:rsidR="000F4BC8" w:rsidRPr="003A25A9" w:rsidRDefault="007D26BA" w:rsidP="00154237">
      <w:pPr>
        <w:shd w:val="clear" w:color="auto" w:fill="FFFFFF"/>
        <w:spacing w:before="120" w:after="240" w:line="360" w:lineRule="auto"/>
        <w:ind w:left="993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fin de alcanzar este objetivo</w:t>
      </w:r>
      <w:r w:rsidR="00320F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 empresa actuando en los servicios de </w:t>
      </w:r>
      <w:r w:rsidR="00F229FE" w:rsidRPr="00E40FE0">
        <w:rPr>
          <w:rFonts w:ascii="Arial" w:hAnsi="Arial" w:cs="Arial"/>
          <w:sz w:val="22"/>
          <w:szCs w:val="22"/>
        </w:rPr>
        <w:t>tecnología</w:t>
      </w:r>
      <w:r w:rsidRPr="007D26BA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compromete</w:t>
      </w:r>
      <w:r w:rsidR="00E40FE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a: </w:t>
      </w:r>
    </w:p>
    <w:p w14:paraId="6B2B2BB2" w14:textId="77777777" w:rsidR="000F4BC8" w:rsidRPr="003A25A9" w:rsidRDefault="000F4BC8" w:rsidP="001623B0">
      <w:pPr>
        <w:spacing w:line="360" w:lineRule="auto"/>
        <w:ind w:left="1418" w:hanging="425"/>
        <w:jc w:val="both"/>
        <w:rPr>
          <w:sz w:val="22"/>
          <w:szCs w:val="22"/>
        </w:rPr>
      </w:pPr>
      <w:r w:rsidRPr="003A25A9">
        <w:rPr>
          <w:rFonts w:ascii="Symbol" w:hAnsi="Symbol"/>
          <w:sz w:val="22"/>
          <w:szCs w:val="22"/>
        </w:rPr>
        <w:t></w:t>
      </w:r>
      <w:r w:rsidRPr="003A25A9">
        <w:rPr>
          <w:sz w:val="22"/>
          <w:szCs w:val="22"/>
        </w:rPr>
        <w:t>      </w:t>
      </w:r>
      <w:r w:rsidR="006D10FB">
        <w:rPr>
          <w:rFonts w:ascii="Arial" w:hAnsi="Arial" w:cs="Arial"/>
          <w:sz w:val="22"/>
          <w:szCs w:val="22"/>
        </w:rPr>
        <w:t xml:space="preserve">Mantener </w:t>
      </w:r>
      <w:r w:rsidRPr="003A25A9">
        <w:rPr>
          <w:rFonts w:ascii="Arial" w:hAnsi="Arial" w:cs="Arial"/>
          <w:sz w:val="22"/>
          <w:szCs w:val="22"/>
        </w:rPr>
        <w:t xml:space="preserve">o </w:t>
      </w:r>
      <w:r w:rsidR="003A25A9" w:rsidRPr="003A25A9">
        <w:rPr>
          <w:rFonts w:ascii="Arial" w:hAnsi="Arial" w:cs="Arial"/>
          <w:sz w:val="22"/>
          <w:szCs w:val="22"/>
        </w:rPr>
        <w:t>continua</w:t>
      </w:r>
      <w:r w:rsidR="006D10FB">
        <w:rPr>
          <w:rFonts w:ascii="Arial" w:hAnsi="Arial" w:cs="Arial"/>
          <w:sz w:val="22"/>
          <w:szCs w:val="22"/>
        </w:rPr>
        <w:t xml:space="preserve">r el alineamiento de conceptos, directrices y normas legales que pertenecen al área de seguridad y salud en el trabajo; </w:t>
      </w:r>
      <w:r w:rsidRPr="003A25A9">
        <w:rPr>
          <w:rFonts w:ascii="Arial" w:hAnsi="Arial" w:cs="Arial"/>
          <w:sz w:val="22"/>
          <w:szCs w:val="22"/>
        </w:rPr>
        <w:t xml:space="preserve"> </w:t>
      </w:r>
    </w:p>
    <w:p w14:paraId="72383E87" w14:textId="77777777" w:rsidR="00605D63" w:rsidRDefault="000F4BC8" w:rsidP="00605D63">
      <w:pPr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C07AFE">
        <w:rPr>
          <w:rFonts w:ascii="Symbol" w:hAnsi="Symbol"/>
          <w:sz w:val="22"/>
          <w:szCs w:val="22"/>
        </w:rPr>
        <w:lastRenderedPageBreak/>
        <w:t></w:t>
      </w:r>
      <w:r w:rsidRPr="00C07AFE">
        <w:rPr>
          <w:sz w:val="22"/>
          <w:szCs w:val="22"/>
        </w:rPr>
        <w:t>      </w:t>
      </w:r>
      <w:r w:rsidRPr="00C07AFE">
        <w:rPr>
          <w:rFonts w:ascii="Arial" w:hAnsi="Arial" w:cs="Arial"/>
          <w:sz w:val="22"/>
          <w:szCs w:val="22"/>
        </w:rPr>
        <w:t>Ado</w:t>
      </w:r>
      <w:r w:rsidR="006D10FB" w:rsidRPr="00C07AFE">
        <w:rPr>
          <w:rFonts w:ascii="Arial" w:hAnsi="Arial" w:cs="Arial"/>
          <w:sz w:val="22"/>
          <w:szCs w:val="22"/>
        </w:rPr>
        <w:t>p</w:t>
      </w:r>
      <w:r w:rsidRPr="00C07AFE">
        <w:rPr>
          <w:rFonts w:ascii="Arial" w:hAnsi="Arial" w:cs="Arial"/>
          <w:sz w:val="22"/>
          <w:szCs w:val="22"/>
        </w:rPr>
        <w:t xml:space="preserve">tar medidas que </w:t>
      </w:r>
      <w:r w:rsidR="006D10FB" w:rsidRPr="00C07AFE">
        <w:rPr>
          <w:rFonts w:ascii="Arial" w:hAnsi="Arial" w:cs="Arial"/>
          <w:sz w:val="22"/>
          <w:szCs w:val="22"/>
        </w:rPr>
        <w:t xml:space="preserve">garantizan a todos los </w:t>
      </w:r>
      <w:r w:rsidR="00320FF6">
        <w:rPr>
          <w:rFonts w:ascii="Arial" w:hAnsi="Arial" w:cs="Arial"/>
          <w:sz w:val="22"/>
          <w:szCs w:val="22"/>
        </w:rPr>
        <w:t>colaboradores</w:t>
      </w:r>
      <w:r w:rsidR="00FE51CC" w:rsidRPr="00C07AFE">
        <w:rPr>
          <w:rFonts w:ascii="Arial" w:hAnsi="Arial" w:cs="Arial"/>
          <w:sz w:val="22"/>
          <w:szCs w:val="22"/>
        </w:rPr>
        <w:t xml:space="preserve"> de la empresa que realic</w:t>
      </w:r>
      <w:r w:rsidR="006D10FB" w:rsidRPr="00C07AFE">
        <w:rPr>
          <w:rFonts w:ascii="Arial" w:hAnsi="Arial" w:cs="Arial"/>
          <w:sz w:val="22"/>
          <w:szCs w:val="22"/>
        </w:rPr>
        <w:t xml:space="preserve">en sus actividades en </w:t>
      </w:r>
      <w:r w:rsidR="0056366F" w:rsidRPr="00C07AFE">
        <w:rPr>
          <w:rFonts w:ascii="Arial" w:hAnsi="Arial" w:cs="Arial"/>
          <w:sz w:val="22"/>
          <w:szCs w:val="22"/>
        </w:rPr>
        <w:t>condiciones de trabajo seguras y saludables para evitar lesiones y problemas de salud relacionados con el trabajo;</w:t>
      </w:r>
    </w:p>
    <w:p w14:paraId="72C3AC6A" w14:textId="77777777" w:rsidR="004274BE" w:rsidRPr="00605D63" w:rsidRDefault="004274BE" w:rsidP="00605D63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5D63">
        <w:rPr>
          <w:rFonts w:ascii="Arial" w:hAnsi="Arial" w:cs="Arial"/>
          <w:sz w:val="22"/>
          <w:szCs w:val="22"/>
        </w:rPr>
        <w:t xml:space="preserve">Garantizar que la política sea divulgada a todos los colaboradores, </w:t>
      </w:r>
      <w:r w:rsidR="00320FF6" w:rsidRPr="00605D63">
        <w:rPr>
          <w:rFonts w:ascii="Arial" w:hAnsi="Arial" w:cs="Arial"/>
          <w:sz w:val="22"/>
          <w:szCs w:val="22"/>
        </w:rPr>
        <w:t>contratistas, subcontratistas</w:t>
      </w:r>
      <w:r w:rsidRPr="00605D63">
        <w:rPr>
          <w:rFonts w:ascii="Arial" w:hAnsi="Arial" w:cs="Arial"/>
          <w:sz w:val="22"/>
          <w:szCs w:val="22"/>
        </w:rPr>
        <w:t xml:space="preserve"> </w:t>
      </w:r>
      <w:r w:rsidR="00320FF6">
        <w:rPr>
          <w:rFonts w:ascii="Arial" w:hAnsi="Arial" w:cs="Arial"/>
          <w:sz w:val="22"/>
          <w:szCs w:val="22"/>
        </w:rPr>
        <w:t xml:space="preserve">y </w:t>
      </w:r>
      <w:r w:rsidRPr="00605D63">
        <w:rPr>
          <w:rFonts w:ascii="Arial" w:hAnsi="Arial" w:cs="Arial"/>
          <w:sz w:val="22"/>
          <w:szCs w:val="22"/>
        </w:rPr>
        <w:t>partes interesadas</w:t>
      </w:r>
      <w:r w:rsidR="005A6367">
        <w:rPr>
          <w:rFonts w:ascii="Arial" w:hAnsi="Arial" w:cs="Arial"/>
          <w:sz w:val="22"/>
          <w:szCs w:val="22"/>
        </w:rPr>
        <w:t>;</w:t>
      </w:r>
    </w:p>
    <w:p w14:paraId="57BA4396" w14:textId="77777777" w:rsidR="00605D63" w:rsidRPr="00605D63" w:rsidRDefault="004274BE" w:rsidP="005A6367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5D63">
        <w:rPr>
          <w:rFonts w:ascii="Arial" w:hAnsi="Arial" w:cs="Arial"/>
          <w:sz w:val="22"/>
          <w:szCs w:val="22"/>
        </w:rPr>
        <w:t>Asegurar la comunicación, participación y consulta en los elementos del Sistema de Gestión SST de los colaboradores y sus representantes</w:t>
      </w:r>
      <w:r w:rsidR="00F16E27" w:rsidRPr="00605D63">
        <w:rPr>
          <w:rFonts w:ascii="Arial" w:hAnsi="Arial" w:cs="Arial"/>
          <w:sz w:val="22"/>
          <w:szCs w:val="22"/>
        </w:rPr>
        <w:t>.</w:t>
      </w:r>
    </w:p>
    <w:p w14:paraId="1FBFACAF" w14:textId="77777777" w:rsidR="0056366F" w:rsidRPr="00C07AFE" w:rsidRDefault="000F4BC8" w:rsidP="001623B0">
      <w:pPr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3A25A9">
        <w:rPr>
          <w:rFonts w:ascii="Symbol" w:hAnsi="Symbol"/>
          <w:sz w:val="22"/>
          <w:szCs w:val="22"/>
        </w:rPr>
        <w:t></w:t>
      </w:r>
      <w:r w:rsidRPr="003A25A9">
        <w:rPr>
          <w:sz w:val="22"/>
          <w:szCs w:val="22"/>
        </w:rPr>
        <w:t>      </w:t>
      </w:r>
      <w:r w:rsidRPr="00C07AFE">
        <w:rPr>
          <w:rFonts w:ascii="Arial" w:hAnsi="Arial" w:cs="Arial"/>
          <w:sz w:val="22"/>
          <w:szCs w:val="22"/>
        </w:rPr>
        <w:t xml:space="preserve">Realizar </w:t>
      </w:r>
      <w:r w:rsidR="006D10FB" w:rsidRPr="00C07AFE">
        <w:rPr>
          <w:rFonts w:ascii="Arial" w:hAnsi="Arial" w:cs="Arial"/>
          <w:sz w:val="22"/>
          <w:szCs w:val="22"/>
        </w:rPr>
        <w:t>la promoción de salud</w:t>
      </w:r>
      <w:r w:rsidRPr="00C07AFE">
        <w:rPr>
          <w:rFonts w:ascii="Arial" w:hAnsi="Arial" w:cs="Arial"/>
          <w:sz w:val="22"/>
          <w:szCs w:val="22"/>
        </w:rPr>
        <w:t>, a</w:t>
      </w:r>
      <w:r w:rsidR="006D10FB" w:rsidRPr="00C07AFE">
        <w:rPr>
          <w:rFonts w:ascii="Arial" w:hAnsi="Arial" w:cs="Arial"/>
          <w:sz w:val="22"/>
          <w:szCs w:val="22"/>
        </w:rPr>
        <w:t>c</w:t>
      </w:r>
      <w:r w:rsidRPr="00C07AFE">
        <w:rPr>
          <w:rFonts w:ascii="Arial" w:hAnsi="Arial" w:cs="Arial"/>
          <w:sz w:val="22"/>
          <w:szCs w:val="22"/>
        </w:rPr>
        <w:t xml:space="preserve">tuando de forma preventiva </w:t>
      </w:r>
      <w:r w:rsidR="006D10FB" w:rsidRPr="00C07AFE">
        <w:rPr>
          <w:rFonts w:ascii="Arial" w:hAnsi="Arial" w:cs="Arial"/>
          <w:sz w:val="22"/>
          <w:szCs w:val="22"/>
        </w:rPr>
        <w:t xml:space="preserve">en la anticipación, reconocimiento, investigación, análisis y evaluación de los ambientes y de las </w:t>
      </w:r>
      <w:r w:rsidR="003D7477" w:rsidRPr="00C07AFE">
        <w:rPr>
          <w:rFonts w:ascii="Arial" w:hAnsi="Arial" w:cs="Arial"/>
          <w:sz w:val="22"/>
          <w:szCs w:val="22"/>
        </w:rPr>
        <w:t xml:space="preserve">actividades </w:t>
      </w:r>
      <w:r w:rsidR="006D10FB" w:rsidRPr="00C07AFE">
        <w:rPr>
          <w:rFonts w:ascii="Arial" w:hAnsi="Arial" w:cs="Arial"/>
          <w:sz w:val="22"/>
          <w:szCs w:val="22"/>
        </w:rPr>
        <w:t xml:space="preserve">realizadas, </w:t>
      </w:r>
      <w:r w:rsidR="0056366F" w:rsidRPr="00C07AFE">
        <w:rPr>
          <w:rFonts w:ascii="Arial" w:hAnsi="Arial" w:cs="Arial"/>
          <w:sz w:val="22"/>
          <w:szCs w:val="22"/>
        </w:rPr>
        <w:t xml:space="preserve">buscando eliminar los peligros y </w:t>
      </w:r>
      <w:r w:rsidR="005A6367">
        <w:rPr>
          <w:rFonts w:ascii="Arial" w:hAnsi="Arial" w:cs="Arial"/>
          <w:sz w:val="22"/>
          <w:szCs w:val="22"/>
        </w:rPr>
        <w:t>minimizar</w:t>
      </w:r>
      <w:r w:rsidR="0056366F" w:rsidRPr="00C07AFE">
        <w:rPr>
          <w:rFonts w:ascii="Arial" w:hAnsi="Arial" w:cs="Arial"/>
          <w:sz w:val="22"/>
          <w:szCs w:val="22"/>
        </w:rPr>
        <w:t xml:space="preserve"> los riesgos que pueden estar presentes en las actividades de la empresa y que pueden dar lugar a incidentes</w:t>
      </w:r>
      <w:r w:rsidR="005A6367">
        <w:rPr>
          <w:rFonts w:ascii="Arial" w:hAnsi="Arial" w:cs="Arial"/>
          <w:sz w:val="22"/>
          <w:szCs w:val="22"/>
        </w:rPr>
        <w:t xml:space="preserve"> y</w:t>
      </w:r>
      <w:r w:rsidR="0056366F" w:rsidRPr="00C07AFE">
        <w:rPr>
          <w:rFonts w:ascii="Arial" w:hAnsi="Arial" w:cs="Arial"/>
          <w:sz w:val="22"/>
          <w:szCs w:val="22"/>
        </w:rPr>
        <w:t xml:space="preserve"> enfermedades </w:t>
      </w:r>
      <w:r w:rsidR="005A6367">
        <w:rPr>
          <w:rFonts w:ascii="Arial" w:hAnsi="Arial" w:cs="Arial"/>
          <w:sz w:val="22"/>
          <w:szCs w:val="22"/>
        </w:rPr>
        <w:t>ocupacionales</w:t>
      </w:r>
      <w:r w:rsidR="0056366F" w:rsidRPr="00C07AFE">
        <w:rPr>
          <w:rFonts w:ascii="Arial" w:hAnsi="Arial" w:cs="Arial"/>
          <w:sz w:val="22"/>
          <w:szCs w:val="22"/>
        </w:rPr>
        <w:t>;</w:t>
      </w:r>
    </w:p>
    <w:p w14:paraId="17506B3A" w14:textId="77777777" w:rsidR="000F4BC8" w:rsidRPr="003A25A9" w:rsidRDefault="000F4BC8" w:rsidP="001623B0">
      <w:pPr>
        <w:spacing w:line="360" w:lineRule="auto"/>
        <w:ind w:left="1418" w:hanging="425"/>
        <w:jc w:val="both"/>
        <w:rPr>
          <w:sz w:val="22"/>
          <w:szCs w:val="22"/>
        </w:rPr>
      </w:pPr>
      <w:r w:rsidRPr="00C07AFE">
        <w:rPr>
          <w:rFonts w:ascii="Symbol" w:hAnsi="Symbol"/>
          <w:sz w:val="22"/>
          <w:szCs w:val="22"/>
        </w:rPr>
        <w:t></w:t>
      </w:r>
      <w:r w:rsidRPr="00C07AFE">
        <w:rPr>
          <w:sz w:val="22"/>
          <w:szCs w:val="22"/>
        </w:rPr>
        <w:t>      </w:t>
      </w:r>
      <w:r w:rsidR="00E40FE0" w:rsidRPr="00C07AFE">
        <w:rPr>
          <w:rFonts w:ascii="Arial" w:hAnsi="Arial" w:cs="Arial"/>
          <w:sz w:val="22"/>
          <w:szCs w:val="22"/>
        </w:rPr>
        <w:t>Inver</w:t>
      </w:r>
      <w:r w:rsidR="003D7477" w:rsidRPr="00C07AFE">
        <w:rPr>
          <w:rFonts w:ascii="Arial" w:hAnsi="Arial" w:cs="Arial"/>
          <w:sz w:val="22"/>
          <w:szCs w:val="22"/>
        </w:rPr>
        <w:t xml:space="preserve">tir en la capacitación de los </w:t>
      </w:r>
      <w:r w:rsidR="00320FF6">
        <w:rPr>
          <w:rFonts w:ascii="Arial" w:hAnsi="Arial" w:cs="Arial"/>
          <w:sz w:val="22"/>
          <w:szCs w:val="22"/>
        </w:rPr>
        <w:t>colaboradores</w:t>
      </w:r>
      <w:r w:rsidR="003D7477" w:rsidRPr="00C07AFE">
        <w:rPr>
          <w:rFonts w:ascii="Arial" w:hAnsi="Arial" w:cs="Arial"/>
          <w:sz w:val="22"/>
          <w:szCs w:val="22"/>
        </w:rPr>
        <w:t>, buscando la mejora</w:t>
      </w:r>
      <w:r w:rsidR="0056366F" w:rsidRPr="00C07AFE">
        <w:rPr>
          <w:rFonts w:ascii="Arial" w:hAnsi="Arial" w:cs="Arial"/>
          <w:sz w:val="22"/>
          <w:szCs w:val="22"/>
        </w:rPr>
        <w:t xml:space="preserve"> continua</w:t>
      </w:r>
      <w:r w:rsidR="003D7477" w:rsidRPr="00C07AFE">
        <w:rPr>
          <w:rFonts w:ascii="Arial" w:hAnsi="Arial" w:cs="Arial"/>
          <w:sz w:val="22"/>
          <w:szCs w:val="22"/>
        </w:rPr>
        <w:t xml:space="preserve"> de los procesos de </w:t>
      </w:r>
      <w:r w:rsidR="005A6367">
        <w:rPr>
          <w:rFonts w:ascii="Arial" w:hAnsi="Arial" w:cs="Arial"/>
          <w:sz w:val="22"/>
          <w:szCs w:val="22"/>
        </w:rPr>
        <w:t>S</w:t>
      </w:r>
      <w:r w:rsidR="003D7477" w:rsidRPr="00C07AFE">
        <w:rPr>
          <w:rFonts w:ascii="Arial" w:hAnsi="Arial" w:cs="Arial"/>
          <w:sz w:val="22"/>
          <w:szCs w:val="22"/>
        </w:rPr>
        <w:t xml:space="preserve">eguridad y </w:t>
      </w:r>
      <w:r w:rsidR="005A6367">
        <w:rPr>
          <w:rFonts w:ascii="Arial" w:hAnsi="Arial" w:cs="Arial"/>
          <w:sz w:val="22"/>
          <w:szCs w:val="22"/>
        </w:rPr>
        <w:t>S</w:t>
      </w:r>
      <w:r w:rsidR="003D7477" w:rsidRPr="00C07AFE">
        <w:rPr>
          <w:rFonts w:ascii="Arial" w:hAnsi="Arial" w:cs="Arial"/>
          <w:sz w:val="22"/>
          <w:szCs w:val="22"/>
        </w:rPr>
        <w:t>alud</w:t>
      </w:r>
      <w:r w:rsidR="005A6367">
        <w:rPr>
          <w:rFonts w:ascii="Arial" w:hAnsi="Arial" w:cs="Arial"/>
          <w:sz w:val="22"/>
          <w:szCs w:val="22"/>
        </w:rPr>
        <w:t xml:space="preserve"> en el Trabajo</w:t>
      </w:r>
      <w:r w:rsidR="007A5D05" w:rsidRPr="00C07AFE">
        <w:rPr>
          <w:rFonts w:ascii="Arial" w:hAnsi="Arial" w:cs="Arial"/>
          <w:sz w:val="22"/>
          <w:szCs w:val="22"/>
        </w:rPr>
        <w:t>,</w:t>
      </w:r>
      <w:r w:rsidR="003D7477" w:rsidRPr="00C07AFE">
        <w:rPr>
          <w:rFonts w:ascii="Arial" w:hAnsi="Arial" w:cs="Arial"/>
          <w:sz w:val="22"/>
          <w:szCs w:val="22"/>
        </w:rPr>
        <w:t xml:space="preserve"> as</w:t>
      </w:r>
      <w:r w:rsidR="00FE51CC" w:rsidRPr="00C07AFE">
        <w:rPr>
          <w:rFonts w:ascii="Arial" w:hAnsi="Arial" w:cs="Arial"/>
          <w:sz w:val="22"/>
          <w:szCs w:val="22"/>
        </w:rPr>
        <w:t>í</w:t>
      </w:r>
      <w:r w:rsidR="003D7477" w:rsidRPr="00C07AFE">
        <w:rPr>
          <w:rFonts w:ascii="Arial" w:hAnsi="Arial" w:cs="Arial"/>
          <w:sz w:val="22"/>
          <w:szCs w:val="22"/>
        </w:rPr>
        <w:t xml:space="preserve"> como de los </w:t>
      </w:r>
      <w:r w:rsidR="00F229FE" w:rsidRPr="00C07AFE">
        <w:rPr>
          <w:rFonts w:ascii="Arial" w:hAnsi="Arial" w:cs="Arial"/>
          <w:sz w:val="22"/>
          <w:szCs w:val="22"/>
        </w:rPr>
        <w:t>medios</w:t>
      </w:r>
      <w:r w:rsidR="003D7477" w:rsidRPr="00C07AFE">
        <w:rPr>
          <w:rFonts w:ascii="Arial" w:hAnsi="Arial" w:cs="Arial"/>
          <w:sz w:val="22"/>
          <w:szCs w:val="22"/>
        </w:rPr>
        <w:t xml:space="preserve"> de producción;</w:t>
      </w:r>
      <w:r w:rsidR="003D7477">
        <w:rPr>
          <w:rFonts w:ascii="Arial" w:hAnsi="Arial" w:cs="Arial"/>
          <w:sz w:val="22"/>
          <w:szCs w:val="22"/>
        </w:rPr>
        <w:t xml:space="preserve"> </w:t>
      </w:r>
    </w:p>
    <w:p w14:paraId="032E45A6" w14:textId="77777777" w:rsidR="000F4BC8" w:rsidRPr="003A25A9" w:rsidRDefault="000F4BC8" w:rsidP="001623B0">
      <w:pPr>
        <w:spacing w:line="360" w:lineRule="auto"/>
        <w:ind w:left="1418" w:hanging="425"/>
        <w:jc w:val="both"/>
        <w:rPr>
          <w:sz w:val="22"/>
          <w:szCs w:val="22"/>
        </w:rPr>
      </w:pPr>
      <w:r w:rsidRPr="003A25A9">
        <w:rPr>
          <w:rFonts w:ascii="Symbol" w:hAnsi="Symbol"/>
          <w:sz w:val="22"/>
          <w:szCs w:val="22"/>
        </w:rPr>
        <w:t></w:t>
      </w:r>
      <w:r w:rsidRPr="003A25A9">
        <w:rPr>
          <w:sz w:val="22"/>
          <w:szCs w:val="22"/>
        </w:rPr>
        <w:t>      </w:t>
      </w:r>
      <w:r w:rsidRPr="003A25A9">
        <w:rPr>
          <w:rFonts w:ascii="Arial" w:hAnsi="Arial" w:cs="Arial"/>
          <w:sz w:val="22"/>
          <w:szCs w:val="22"/>
        </w:rPr>
        <w:t>Garanti</w:t>
      </w:r>
      <w:r w:rsidR="003D7477">
        <w:rPr>
          <w:rFonts w:ascii="Arial" w:hAnsi="Arial" w:cs="Arial"/>
          <w:sz w:val="22"/>
          <w:szCs w:val="22"/>
        </w:rPr>
        <w:t>za</w:t>
      </w:r>
      <w:r w:rsidRPr="003A25A9">
        <w:rPr>
          <w:rFonts w:ascii="Arial" w:hAnsi="Arial" w:cs="Arial"/>
          <w:sz w:val="22"/>
          <w:szCs w:val="22"/>
        </w:rPr>
        <w:t xml:space="preserve">r que todos </w:t>
      </w:r>
      <w:r w:rsidR="003D7477">
        <w:rPr>
          <w:rFonts w:ascii="Arial" w:hAnsi="Arial" w:cs="Arial"/>
          <w:sz w:val="22"/>
          <w:szCs w:val="22"/>
        </w:rPr>
        <w:t>l</w:t>
      </w:r>
      <w:r w:rsidRPr="003A25A9">
        <w:rPr>
          <w:rFonts w:ascii="Arial" w:hAnsi="Arial" w:cs="Arial"/>
          <w:sz w:val="22"/>
          <w:szCs w:val="22"/>
        </w:rPr>
        <w:t xml:space="preserve">os </w:t>
      </w:r>
      <w:r w:rsidR="00320FF6">
        <w:rPr>
          <w:rFonts w:ascii="Arial" w:hAnsi="Arial" w:cs="Arial"/>
          <w:sz w:val="22"/>
          <w:szCs w:val="22"/>
        </w:rPr>
        <w:t>colaboradores</w:t>
      </w:r>
      <w:r w:rsidR="003D7477">
        <w:rPr>
          <w:rFonts w:ascii="Arial" w:hAnsi="Arial" w:cs="Arial"/>
          <w:sz w:val="22"/>
          <w:szCs w:val="22"/>
        </w:rPr>
        <w:t xml:space="preserve"> reciban capacitación antes de asumir sus puestos de trabajo, tanto </w:t>
      </w:r>
      <w:r w:rsidR="00F46A46">
        <w:rPr>
          <w:rFonts w:ascii="Arial" w:hAnsi="Arial" w:cs="Arial"/>
          <w:sz w:val="22"/>
          <w:szCs w:val="22"/>
        </w:rPr>
        <w:t>en relación con</w:t>
      </w:r>
      <w:r w:rsidR="003D7477">
        <w:rPr>
          <w:rFonts w:ascii="Arial" w:hAnsi="Arial" w:cs="Arial"/>
          <w:sz w:val="22"/>
          <w:szCs w:val="22"/>
        </w:rPr>
        <w:t xml:space="preserve"> la actividad </w:t>
      </w:r>
      <w:r w:rsidR="00F229FE">
        <w:rPr>
          <w:rFonts w:ascii="Arial" w:hAnsi="Arial" w:cs="Arial"/>
          <w:sz w:val="22"/>
          <w:szCs w:val="22"/>
        </w:rPr>
        <w:t>propiamente</w:t>
      </w:r>
      <w:r w:rsidR="003D7477">
        <w:rPr>
          <w:rFonts w:ascii="Arial" w:hAnsi="Arial" w:cs="Arial"/>
          <w:sz w:val="22"/>
          <w:szCs w:val="22"/>
        </w:rPr>
        <w:t xml:space="preserve"> dicha como de los posibles riesgos originados de ella; </w:t>
      </w:r>
    </w:p>
    <w:p w14:paraId="21329FEA" w14:textId="77777777" w:rsidR="000F4BC8" w:rsidRDefault="000F4BC8" w:rsidP="001623B0">
      <w:pPr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3A25A9">
        <w:rPr>
          <w:rFonts w:ascii="Symbol" w:hAnsi="Symbol"/>
          <w:sz w:val="22"/>
          <w:szCs w:val="22"/>
        </w:rPr>
        <w:t></w:t>
      </w:r>
      <w:r w:rsidRPr="003A25A9">
        <w:rPr>
          <w:sz w:val="22"/>
          <w:szCs w:val="22"/>
        </w:rPr>
        <w:t>      </w:t>
      </w:r>
      <w:proofErr w:type="gramStart"/>
      <w:r w:rsidR="003D7477">
        <w:rPr>
          <w:rFonts w:ascii="Arial" w:hAnsi="Arial" w:cs="Arial"/>
          <w:sz w:val="22"/>
          <w:szCs w:val="22"/>
        </w:rPr>
        <w:t>As</w:t>
      </w:r>
      <w:r w:rsidRPr="003A25A9">
        <w:rPr>
          <w:rFonts w:ascii="Arial" w:hAnsi="Arial" w:cs="Arial"/>
          <w:sz w:val="22"/>
          <w:szCs w:val="22"/>
        </w:rPr>
        <w:t>egurar</w:t>
      </w:r>
      <w:proofErr w:type="gramEnd"/>
      <w:r w:rsidRPr="003A25A9">
        <w:rPr>
          <w:rFonts w:ascii="Arial" w:hAnsi="Arial" w:cs="Arial"/>
          <w:sz w:val="22"/>
          <w:szCs w:val="22"/>
        </w:rPr>
        <w:t xml:space="preserve"> que todos </w:t>
      </w:r>
      <w:r w:rsidR="003D7477">
        <w:rPr>
          <w:rFonts w:ascii="Arial" w:hAnsi="Arial" w:cs="Arial"/>
          <w:sz w:val="22"/>
          <w:szCs w:val="22"/>
        </w:rPr>
        <w:t>l</w:t>
      </w:r>
      <w:r w:rsidRPr="003A25A9">
        <w:rPr>
          <w:rFonts w:ascii="Arial" w:hAnsi="Arial" w:cs="Arial"/>
          <w:sz w:val="22"/>
          <w:szCs w:val="22"/>
        </w:rPr>
        <w:t>os</w:t>
      </w:r>
      <w:r w:rsidR="003D7477">
        <w:rPr>
          <w:rFonts w:ascii="Arial" w:hAnsi="Arial" w:cs="Arial"/>
          <w:sz w:val="22"/>
          <w:szCs w:val="22"/>
        </w:rPr>
        <w:t xml:space="preserve"> </w:t>
      </w:r>
      <w:r w:rsidR="00320FF6">
        <w:rPr>
          <w:rFonts w:ascii="Arial" w:hAnsi="Arial" w:cs="Arial"/>
          <w:sz w:val="22"/>
          <w:szCs w:val="22"/>
        </w:rPr>
        <w:t>colaboradores</w:t>
      </w:r>
      <w:r w:rsidR="003D7477">
        <w:rPr>
          <w:rFonts w:ascii="Arial" w:hAnsi="Arial" w:cs="Arial"/>
          <w:sz w:val="22"/>
          <w:szCs w:val="22"/>
        </w:rPr>
        <w:t>, pr</w:t>
      </w:r>
      <w:r w:rsidR="00FE51CC">
        <w:rPr>
          <w:rFonts w:ascii="Arial" w:hAnsi="Arial" w:cs="Arial"/>
          <w:sz w:val="22"/>
          <w:szCs w:val="22"/>
        </w:rPr>
        <w:t>o</w:t>
      </w:r>
      <w:r w:rsidR="003D7477">
        <w:rPr>
          <w:rFonts w:ascii="Arial" w:hAnsi="Arial" w:cs="Arial"/>
          <w:sz w:val="22"/>
          <w:szCs w:val="22"/>
        </w:rPr>
        <w:t xml:space="preserve">pios y prestadores de servicios específicos reciban capacitación adecuada para el desempeño de sus actividades, </w:t>
      </w:r>
      <w:r w:rsidR="005A6367">
        <w:rPr>
          <w:rFonts w:ascii="Arial" w:hAnsi="Arial" w:cs="Arial"/>
          <w:sz w:val="22"/>
          <w:szCs w:val="22"/>
        </w:rPr>
        <w:t>así</w:t>
      </w:r>
      <w:r w:rsidR="003D7477">
        <w:rPr>
          <w:rFonts w:ascii="Arial" w:hAnsi="Arial" w:cs="Arial"/>
          <w:sz w:val="22"/>
          <w:szCs w:val="22"/>
        </w:rPr>
        <w:t xml:space="preserve"> como en los casos donde exista necesidad legal de calificación </w:t>
      </w:r>
      <w:r w:rsidR="00E40FE0">
        <w:rPr>
          <w:rFonts w:ascii="Arial" w:hAnsi="Arial" w:cs="Arial"/>
          <w:sz w:val="22"/>
          <w:szCs w:val="22"/>
        </w:rPr>
        <w:t>profe</w:t>
      </w:r>
      <w:r w:rsidR="003D7477">
        <w:rPr>
          <w:rFonts w:ascii="Arial" w:hAnsi="Arial" w:cs="Arial"/>
          <w:sz w:val="22"/>
          <w:szCs w:val="22"/>
        </w:rPr>
        <w:t xml:space="preserve">sional para ejecución de la actividad </w:t>
      </w:r>
      <w:r w:rsidR="00E40FE0">
        <w:rPr>
          <w:rFonts w:ascii="Arial" w:hAnsi="Arial" w:cs="Arial"/>
          <w:sz w:val="22"/>
          <w:szCs w:val="22"/>
        </w:rPr>
        <w:t xml:space="preserve">para que </w:t>
      </w:r>
      <w:r w:rsidR="003D7477">
        <w:rPr>
          <w:rFonts w:ascii="Arial" w:hAnsi="Arial" w:cs="Arial"/>
          <w:sz w:val="22"/>
          <w:szCs w:val="22"/>
        </w:rPr>
        <w:t xml:space="preserve">sea cumplida; </w:t>
      </w:r>
    </w:p>
    <w:p w14:paraId="2E2D86BD" w14:textId="77777777" w:rsidR="000F4BC8" w:rsidRDefault="000F4BC8" w:rsidP="001623B0">
      <w:pPr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3A25A9">
        <w:rPr>
          <w:rFonts w:ascii="Symbol" w:hAnsi="Symbol"/>
          <w:sz w:val="22"/>
          <w:szCs w:val="22"/>
        </w:rPr>
        <w:t></w:t>
      </w:r>
      <w:r w:rsidRPr="003A25A9">
        <w:rPr>
          <w:sz w:val="22"/>
          <w:szCs w:val="22"/>
        </w:rPr>
        <w:t>      </w:t>
      </w:r>
      <w:r w:rsidRPr="003A25A9">
        <w:rPr>
          <w:rFonts w:ascii="Arial" w:hAnsi="Arial" w:cs="Arial"/>
          <w:sz w:val="22"/>
          <w:szCs w:val="22"/>
        </w:rPr>
        <w:t>Selec</w:t>
      </w:r>
      <w:r w:rsidR="003D7477">
        <w:rPr>
          <w:rFonts w:ascii="Arial" w:hAnsi="Arial" w:cs="Arial"/>
          <w:sz w:val="22"/>
          <w:szCs w:val="22"/>
        </w:rPr>
        <w:t>c</w:t>
      </w:r>
      <w:r w:rsidRPr="003A25A9">
        <w:rPr>
          <w:rFonts w:ascii="Arial" w:hAnsi="Arial" w:cs="Arial"/>
          <w:sz w:val="22"/>
          <w:szCs w:val="22"/>
        </w:rPr>
        <w:t xml:space="preserve">ionar </w:t>
      </w:r>
      <w:r w:rsidR="003D7477">
        <w:rPr>
          <w:rFonts w:ascii="Arial" w:hAnsi="Arial" w:cs="Arial"/>
          <w:sz w:val="22"/>
          <w:szCs w:val="22"/>
        </w:rPr>
        <w:t xml:space="preserve">proveedores con capacidad de servicio de acuerdo </w:t>
      </w:r>
      <w:r w:rsidR="00C51CD8">
        <w:rPr>
          <w:rFonts w:ascii="Arial" w:hAnsi="Arial" w:cs="Arial"/>
          <w:sz w:val="22"/>
          <w:szCs w:val="22"/>
        </w:rPr>
        <w:t>con</w:t>
      </w:r>
      <w:r w:rsidR="003D7477">
        <w:rPr>
          <w:rFonts w:ascii="Arial" w:hAnsi="Arial" w:cs="Arial"/>
          <w:sz w:val="22"/>
          <w:szCs w:val="22"/>
        </w:rPr>
        <w:t xml:space="preserve"> nuestras políticas y legislación</w:t>
      </w:r>
      <w:r w:rsidR="005A6367">
        <w:rPr>
          <w:rFonts w:ascii="Arial" w:hAnsi="Arial" w:cs="Arial"/>
          <w:sz w:val="22"/>
          <w:szCs w:val="22"/>
        </w:rPr>
        <w:t xml:space="preserve"> vigente;</w:t>
      </w:r>
    </w:p>
    <w:p w14:paraId="2396CA04" w14:textId="77777777" w:rsidR="00D72A93" w:rsidRDefault="00D72A93" w:rsidP="00F46A46">
      <w:pPr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3A25A9">
        <w:rPr>
          <w:rFonts w:ascii="Symbol" w:hAnsi="Symbol"/>
          <w:sz w:val="22"/>
          <w:szCs w:val="22"/>
        </w:rPr>
        <w:t></w:t>
      </w:r>
      <w:r w:rsidRPr="003A25A9">
        <w:rPr>
          <w:sz w:val="22"/>
          <w:szCs w:val="22"/>
        </w:rPr>
        <w:t>      </w:t>
      </w:r>
      <w:r w:rsidRPr="00D72A93">
        <w:rPr>
          <w:rFonts w:ascii="Arial" w:hAnsi="Arial" w:cs="Arial"/>
          <w:sz w:val="22"/>
          <w:szCs w:val="22"/>
        </w:rPr>
        <w:t>Garantizar, que ante motivos razonables para creer que existe un peligro inminente y grave</w:t>
      </w:r>
      <w:r>
        <w:rPr>
          <w:rFonts w:ascii="Arial" w:hAnsi="Arial" w:cs="Arial"/>
          <w:sz w:val="22"/>
          <w:szCs w:val="22"/>
        </w:rPr>
        <w:t xml:space="preserve"> </w:t>
      </w:r>
      <w:r w:rsidRPr="00D72A93">
        <w:rPr>
          <w:rFonts w:ascii="Arial" w:hAnsi="Arial" w:cs="Arial"/>
          <w:sz w:val="22"/>
          <w:szCs w:val="22"/>
        </w:rPr>
        <w:t>para su vida o su salud, todo colaborador tiene el derecho a alejarse del lugar o de interrumpir</w:t>
      </w:r>
      <w:r>
        <w:rPr>
          <w:rFonts w:ascii="Arial" w:hAnsi="Arial" w:cs="Arial"/>
          <w:sz w:val="22"/>
          <w:szCs w:val="22"/>
        </w:rPr>
        <w:t xml:space="preserve"> la actividad laboral.</w:t>
      </w:r>
    </w:p>
    <w:p w14:paraId="6AD0CE9F" w14:textId="77777777" w:rsidR="00434292" w:rsidRPr="00AC2B39" w:rsidRDefault="00434292" w:rsidP="00154237">
      <w:pPr>
        <w:spacing w:line="360" w:lineRule="auto"/>
        <w:ind w:left="1713"/>
        <w:jc w:val="both"/>
        <w:rPr>
          <w:rFonts w:ascii="Arial" w:hAnsi="Arial" w:cs="Arial"/>
          <w:sz w:val="22"/>
          <w:szCs w:val="22"/>
        </w:rPr>
      </w:pPr>
    </w:p>
    <w:p w14:paraId="67939B6D" w14:textId="77777777" w:rsidR="00A360E5" w:rsidRPr="00AC2B39" w:rsidRDefault="00A360E5" w:rsidP="00154237">
      <w:pPr>
        <w:pStyle w:val="Ttulo1"/>
        <w:tabs>
          <w:tab w:val="clear" w:pos="958"/>
          <w:tab w:val="clear" w:pos="1424"/>
          <w:tab w:val="num" w:pos="960"/>
        </w:tabs>
        <w:ind w:left="960" w:hanging="600"/>
        <w:jc w:val="both"/>
        <w:rPr>
          <w:rFonts w:ascii="Arial" w:hAnsi="Arial" w:cs="Arial"/>
          <w:sz w:val="22"/>
          <w:szCs w:val="22"/>
        </w:rPr>
      </w:pPr>
      <w:bookmarkStart w:id="12" w:name="_Toc152678305"/>
      <w:r w:rsidRPr="00AC2B39">
        <w:rPr>
          <w:rFonts w:ascii="Arial" w:hAnsi="Arial" w:cs="Arial"/>
          <w:sz w:val="22"/>
          <w:szCs w:val="22"/>
        </w:rPr>
        <w:t>R</w:t>
      </w:r>
      <w:r w:rsidR="00C51CD8">
        <w:rPr>
          <w:rFonts w:ascii="Arial" w:hAnsi="Arial" w:cs="Arial"/>
          <w:sz w:val="22"/>
          <w:szCs w:val="22"/>
        </w:rPr>
        <w:t>eferencia a o</w:t>
      </w:r>
      <w:r w:rsidRPr="00AC2B39">
        <w:rPr>
          <w:rFonts w:ascii="Arial" w:hAnsi="Arial" w:cs="Arial"/>
          <w:sz w:val="22"/>
          <w:szCs w:val="22"/>
        </w:rPr>
        <w:t>tros documentos</w:t>
      </w:r>
      <w:bookmarkEnd w:id="12"/>
    </w:p>
    <w:p w14:paraId="679CB999" w14:textId="4642EBB4" w:rsidR="00E27516" w:rsidRPr="00B62959" w:rsidRDefault="00E27516" w:rsidP="00E27516">
      <w:pPr>
        <w:pStyle w:val="OGPRC"/>
        <w:ind w:left="960"/>
        <w:jc w:val="both"/>
        <w:rPr>
          <w:rFonts w:ascii="Arial" w:hAnsi="Arial" w:cs="Arial"/>
          <w:sz w:val="22"/>
          <w:szCs w:val="22"/>
        </w:rPr>
      </w:pPr>
      <w:r w:rsidRPr="00B62959">
        <w:rPr>
          <w:rFonts w:ascii="Arial" w:hAnsi="Arial" w:cs="Arial"/>
          <w:sz w:val="22"/>
          <w:szCs w:val="22"/>
        </w:rPr>
        <w:t>PE-DOC-000-001 - Mapa Estratégico TIVIT</w:t>
      </w:r>
    </w:p>
    <w:p w14:paraId="02890B1C" w14:textId="71E2B0E1" w:rsidR="00E27516" w:rsidRPr="00B62959" w:rsidRDefault="00E27516" w:rsidP="00E27516">
      <w:pPr>
        <w:pStyle w:val="OGPRC"/>
        <w:ind w:left="960"/>
        <w:jc w:val="both"/>
        <w:rPr>
          <w:rFonts w:ascii="Arial" w:hAnsi="Arial" w:cs="Arial"/>
          <w:sz w:val="22"/>
          <w:szCs w:val="22"/>
        </w:rPr>
      </w:pPr>
      <w:r w:rsidRPr="00B62959">
        <w:rPr>
          <w:rFonts w:ascii="Arial" w:hAnsi="Arial" w:cs="Arial"/>
          <w:sz w:val="22"/>
          <w:szCs w:val="22"/>
        </w:rPr>
        <w:t>QP-DOC-000-006 - Misión, Visión y Valores TIVIT</w:t>
      </w:r>
    </w:p>
    <w:p w14:paraId="5E7BF38F" w14:textId="2E076C7D" w:rsidR="00E27516" w:rsidRPr="00B62959" w:rsidRDefault="00E27516" w:rsidP="00E27516">
      <w:pPr>
        <w:pStyle w:val="OGPRC"/>
        <w:ind w:left="960"/>
        <w:jc w:val="both"/>
        <w:rPr>
          <w:rFonts w:ascii="Arial" w:hAnsi="Arial" w:cs="Arial"/>
          <w:sz w:val="22"/>
          <w:szCs w:val="22"/>
        </w:rPr>
      </w:pPr>
      <w:r w:rsidRPr="00B62959">
        <w:rPr>
          <w:rFonts w:ascii="Arial" w:hAnsi="Arial" w:cs="Arial"/>
          <w:sz w:val="22"/>
          <w:szCs w:val="22"/>
        </w:rPr>
        <w:t>QP-MAN-001 - Manual de Calidad</w:t>
      </w:r>
    </w:p>
    <w:p w14:paraId="543B8C3E" w14:textId="59F11E07" w:rsidR="00E27516" w:rsidRPr="00B62959" w:rsidRDefault="00E27516" w:rsidP="00E27516">
      <w:pPr>
        <w:pStyle w:val="OGPRC"/>
        <w:ind w:left="960"/>
        <w:jc w:val="both"/>
        <w:rPr>
          <w:rFonts w:ascii="Arial" w:hAnsi="Arial" w:cs="Arial"/>
          <w:sz w:val="22"/>
          <w:szCs w:val="22"/>
        </w:rPr>
      </w:pPr>
      <w:r w:rsidRPr="00B62959">
        <w:rPr>
          <w:rFonts w:ascii="Arial" w:hAnsi="Arial" w:cs="Arial"/>
          <w:sz w:val="22"/>
          <w:szCs w:val="22"/>
        </w:rPr>
        <w:t>QP-DOC-000-017 - Contexto TIVIT, necesidades y expectativas de las partes interesadas</w:t>
      </w:r>
    </w:p>
    <w:p w14:paraId="49D1337D" w14:textId="1A9F2273" w:rsidR="00E27516" w:rsidRPr="00E27516" w:rsidRDefault="00E27516" w:rsidP="00E27516">
      <w:pPr>
        <w:pStyle w:val="OGPRC"/>
        <w:ind w:left="960"/>
        <w:jc w:val="both"/>
        <w:rPr>
          <w:rFonts w:ascii="Arial" w:hAnsi="Arial" w:cs="Arial"/>
          <w:sz w:val="22"/>
          <w:szCs w:val="22"/>
        </w:rPr>
      </w:pPr>
      <w:bookmarkStart w:id="13" w:name="_Hlk98838534"/>
      <w:r w:rsidRPr="00B62959">
        <w:rPr>
          <w:rFonts w:ascii="Arial" w:hAnsi="Arial" w:cs="Arial"/>
          <w:sz w:val="22"/>
          <w:szCs w:val="22"/>
        </w:rPr>
        <w:t>QP-DOC-000-009 - Framework TIVIT de</w:t>
      </w:r>
      <w:bookmarkEnd w:id="13"/>
      <w:r w:rsidRPr="00B62959">
        <w:rPr>
          <w:rFonts w:ascii="Arial" w:hAnsi="Arial" w:cs="Arial"/>
          <w:sz w:val="22"/>
          <w:szCs w:val="22"/>
        </w:rPr>
        <w:t xml:space="preserve"> gestión</w:t>
      </w:r>
    </w:p>
    <w:p w14:paraId="157D28B6" w14:textId="77777777" w:rsidR="00E27516" w:rsidRDefault="00E27516" w:rsidP="00A13F6E">
      <w:pPr>
        <w:pStyle w:val="OGPRC"/>
        <w:ind w:left="960"/>
        <w:jc w:val="both"/>
        <w:rPr>
          <w:rFonts w:ascii="Arial" w:hAnsi="Arial" w:cs="Arial"/>
          <w:sz w:val="22"/>
          <w:szCs w:val="22"/>
        </w:rPr>
      </w:pPr>
    </w:p>
    <w:p w14:paraId="17E5D632" w14:textId="77777777" w:rsidR="00F16E27" w:rsidRPr="00F16E27" w:rsidRDefault="00F16E27" w:rsidP="00A13F6E">
      <w:pPr>
        <w:pStyle w:val="OGPRC"/>
        <w:ind w:left="960"/>
        <w:jc w:val="both"/>
        <w:rPr>
          <w:rFonts w:ascii="Arial" w:hAnsi="Arial" w:cs="Arial"/>
          <w:color w:val="FF0000"/>
          <w:sz w:val="22"/>
          <w:szCs w:val="22"/>
        </w:rPr>
      </w:pPr>
    </w:p>
    <w:p w14:paraId="6756F662" w14:textId="77777777" w:rsidR="00F16E27" w:rsidRPr="00605D63" w:rsidRDefault="00F16E27" w:rsidP="00A13F6E">
      <w:pPr>
        <w:pStyle w:val="OGPRC"/>
        <w:ind w:left="960"/>
        <w:jc w:val="both"/>
        <w:rPr>
          <w:rFonts w:ascii="Arial" w:hAnsi="Arial" w:cs="Arial"/>
          <w:sz w:val="22"/>
          <w:szCs w:val="22"/>
        </w:rPr>
      </w:pPr>
      <w:bookmarkStart w:id="14" w:name="_Hlk497837555"/>
      <w:r w:rsidRPr="00605D63">
        <w:rPr>
          <w:rFonts w:ascii="Arial" w:hAnsi="Arial" w:cs="Arial"/>
          <w:sz w:val="22"/>
          <w:szCs w:val="22"/>
        </w:rPr>
        <w:t>Para las unidades LATAM que por obligación legal necesitan tener la Política firmada insertar el texto siguiente:</w:t>
      </w:r>
    </w:p>
    <w:p w14:paraId="0E36EC9D" w14:textId="77777777" w:rsidR="00F16E27" w:rsidRPr="00605D63" w:rsidRDefault="00F16E27" w:rsidP="00605D63">
      <w:pPr>
        <w:autoSpaceDE w:val="0"/>
        <w:autoSpaceDN w:val="0"/>
        <w:adjustRightInd w:val="0"/>
        <w:spacing w:line="280" w:lineRule="atLeast"/>
        <w:ind w:left="993"/>
        <w:jc w:val="both"/>
        <w:rPr>
          <w:rFonts w:ascii="Arial" w:hAnsi="Arial" w:cs="Arial"/>
          <w:sz w:val="22"/>
        </w:rPr>
      </w:pPr>
      <w:r w:rsidRPr="00605D63">
        <w:rPr>
          <w:rFonts w:ascii="Arial" w:hAnsi="Arial" w:cs="Arial"/>
          <w:sz w:val="22"/>
        </w:rPr>
        <w:t>Por ello, la Gerencia General considera como prioritario el cumplimiento de la presente Política en todos los niveles de la organización.</w:t>
      </w:r>
    </w:p>
    <w:bookmarkEnd w:id="14"/>
    <w:p w14:paraId="6C2002CC" w14:textId="77777777" w:rsidR="00F16E27" w:rsidRPr="00F16E27" w:rsidRDefault="00F16E27" w:rsidP="00F16E27">
      <w:pPr>
        <w:pStyle w:val="OGPRC"/>
        <w:ind w:left="960"/>
        <w:jc w:val="both"/>
        <w:rPr>
          <w:rFonts w:ascii="Arial" w:hAnsi="Arial" w:cs="Arial"/>
          <w:color w:val="FF0000"/>
        </w:rPr>
      </w:pPr>
    </w:p>
    <w:sectPr w:rsidR="00F16E27" w:rsidRPr="00F16E27" w:rsidSect="001623B0">
      <w:headerReference w:type="default" r:id="rId8"/>
      <w:pgSz w:w="11907" w:h="16840" w:code="9"/>
      <w:pgMar w:top="2552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09E4" w14:textId="77777777" w:rsidR="00B33B0B" w:rsidRDefault="00B33B0B">
      <w:r>
        <w:separator/>
      </w:r>
    </w:p>
  </w:endnote>
  <w:endnote w:type="continuationSeparator" w:id="0">
    <w:p w14:paraId="7F57809E" w14:textId="77777777" w:rsidR="00B33B0B" w:rsidRDefault="00B3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8A29" w14:textId="77777777" w:rsidR="00B33B0B" w:rsidRDefault="00B33B0B">
      <w:r>
        <w:separator/>
      </w:r>
    </w:p>
  </w:footnote>
  <w:footnote w:type="continuationSeparator" w:id="0">
    <w:p w14:paraId="2C316E61" w14:textId="77777777" w:rsidR="00B33B0B" w:rsidRDefault="00B3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80"/>
      <w:gridCol w:w="4320"/>
      <w:gridCol w:w="2520"/>
      <w:gridCol w:w="1080"/>
    </w:tblGrid>
    <w:tr w:rsidR="00CE6AA6" w14:paraId="2CF010DC" w14:textId="77777777">
      <w:trPr>
        <w:cantSplit/>
        <w:trHeight w:val="350"/>
      </w:trPr>
      <w:tc>
        <w:tcPr>
          <w:tcW w:w="2280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8ECA516" w14:textId="17CA53DF" w:rsidR="00CE6AA6" w:rsidRDefault="00786DC5">
          <w:pPr>
            <w:ind w:right="12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color w:val="808080"/>
            </w:rPr>
            <w:drawing>
              <wp:inline distT="0" distB="0" distL="0" distR="0" wp14:anchorId="51AFD4BF" wp14:editId="78600C71">
                <wp:extent cx="1304925" cy="8096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9860932" w14:textId="77777777" w:rsidR="00CE6AA6" w:rsidRPr="00CC7883" w:rsidRDefault="00CE6AA6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C7883">
            <w:rPr>
              <w:rFonts w:ascii="Arial" w:hAnsi="Arial" w:cs="Arial"/>
              <w:b/>
              <w:sz w:val="28"/>
              <w:szCs w:val="28"/>
            </w:rPr>
            <w:t>POLÍTICA</w:t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vAlign w:val="center"/>
        </w:tcPr>
        <w:p w14:paraId="661B9296" w14:textId="77777777" w:rsidR="00CE6AA6" w:rsidRDefault="00CE6AA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CCCCCC"/>
          <w:vAlign w:val="center"/>
        </w:tcPr>
        <w:p w14:paraId="4AD37303" w14:textId="77777777" w:rsidR="00CE6AA6" w:rsidRDefault="00C51CD8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Revisión</w:t>
          </w:r>
        </w:p>
      </w:tc>
    </w:tr>
    <w:tr w:rsidR="00CE6AA6" w14:paraId="27A4792E" w14:textId="77777777">
      <w:trPr>
        <w:cantSplit/>
        <w:trHeight w:val="352"/>
      </w:trPr>
      <w:tc>
        <w:tcPr>
          <w:tcW w:w="2280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0C38870" w14:textId="77777777" w:rsidR="00CE6AA6" w:rsidRDefault="00CE6AA6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43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55F33A" w14:textId="77777777" w:rsidR="00CE6AA6" w:rsidRPr="00CC7883" w:rsidRDefault="00CE6AA6">
          <w:pPr>
            <w:pStyle w:val="Ttulo3"/>
            <w:jc w:val="center"/>
            <w:rPr>
              <w:rFonts w:ascii="Arial" w:hAnsi="Arial"/>
              <w:sz w:val="28"/>
              <w:szCs w:val="28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60B6EF" w14:textId="77777777" w:rsidR="00CE6AA6" w:rsidRDefault="00605D63" w:rsidP="00605D63">
          <w:pPr>
            <w:jc w:val="center"/>
            <w:rPr>
              <w:rFonts w:ascii="Arial" w:hAnsi="Arial" w:cs="Arial"/>
              <w:b/>
              <w:bCs/>
              <w:vertAlign w:val="superscript"/>
            </w:rPr>
          </w:pPr>
          <w:r>
            <w:rPr>
              <w:rFonts w:ascii="Arial" w:hAnsi="Arial" w:cs="Arial"/>
              <w:sz w:val="22"/>
            </w:rPr>
            <w:t>SMS-POL-001-003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D56D7E0" w14:textId="77777777" w:rsidR="00CE6AA6" w:rsidRDefault="00D72A93">
          <w:pPr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4</w:t>
          </w:r>
        </w:p>
      </w:tc>
    </w:tr>
    <w:tr w:rsidR="00CE6AA6" w14:paraId="4C638A18" w14:textId="77777777">
      <w:trPr>
        <w:cantSplit/>
        <w:trHeight w:val="350"/>
      </w:trPr>
      <w:tc>
        <w:tcPr>
          <w:tcW w:w="2280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BC99427" w14:textId="77777777" w:rsidR="00CE6AA6" w:rsidRDefault="00CE6AA6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43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F459015" w14:textId="77777777" w:rsidR="00CE6AA6" w:rsidRPr="00CC7883" w:rsidRDefault="00C51CD8" w:rsidP="008C1089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C7883">
            <w:rPr>
              <w:rFonts w:ascii="Arial" w:hAnsi="Arial" w:cs="Arial"/>
              <w:b/>
              <w:sz w:val="28"/>
              <w:szCs w:val="28"/>
            </w:rPr>
            <w:t>Política de Seguridad y</w:t>
          </w:r>
          <w:r w:rsidR="003B7A37" w:rsidRPr="00CC7883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CC7883">
            <w:rPr>
              <w:rFonts w:ascii="Arial" w:hAnsi="Arial" w:cs="Arial"/>
              <w:b/>
              <w:sz w:val="28"/>
              <w:szCs w:val="28"/>
            </w:rPr>
            <w:t>Salud en el Trabaj</w:t>
          </w:r>
          <w:r w:rsidR="003B7A37" w:rsidRPr="00CC7883">
            <w:rPr>
              <w:rFonts w:ascii="Arial" w:hAnsi="Arial" w:cs="Arial"/>
              <w:b/>
              <w:sz w:val="28"/>
              <w:szCs w:val="28"/>
            </w:rPr>
            <w:t xml:space="preserve">o </w:t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1AB54F78" w14:textId="77777777" w:rsidR="00CE6AA6" w:rsidRDefault="00C51CD8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Clasificación</w:t>
          </w:r>
          <w:r w:rsidR="00CE6AA6">
            <w:rPr>
              <w:rFonts w:ascii="Arial" w:hAnsi="Arial" w:cs="Arial"/>
              <w:b/>
              <w:sz w:val="20"/>
              <w:szCs w:val="20"/>
            </w:rPr>
            <w:t xml:space="preserve"> d</w:t>
          </w:r>
          <w:r>
            <w:rPr>
              <w:rFonts w:ascii="Arial" w:hAnsi="Arial" w:cs="Arial"/>
              <w:b/>
              <w:sz w:val="20"/>
              <w:szCs w:val="20"/>
            </w:rPr>
            <w:t>e la Información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  <w:vAlign w:val="center"/>
        </w:tcPr>
        <w:p w14:paraId="38B68044" w14:textId="77777777" w:rsidR="00CE6AA6" w:rsidRDefault="00CE6AA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Página</w:t>
          </w:r>
        </w:p>
      </w:tc>
    </w:tr>
    <w:tr w:rsidR="00CE6AA6" w14:paraId="7255BA3F" w14:textId="77777777">
      <w:trPr>
        <w:cantSplit/>
        <w:trHeight w:val="527"/>
      </w:trPr>
      <w:tc>
        <w:tcPr>
          <w:tcW w:w="228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B588F2" w14:textId="77777777" w:rsidR="00CE6AA6" w:rsidRDefault="00CE6AA6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43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5377AB" w14:textId="77777777" w:rsidR="00CE6AA6" w:rsidRDefault="00CE6AA6">
          <w:pPr>
            <w:pStyle w:val="Ttulo3"/>
            <w:rPr>
              <w:rFonts w:ascii="Arial" w:hAnsi="Arial"/>
              <w:sz w:val="22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22A719" w14:textId="77777777" w:rsidR="00CE6AA6" w:rsidRDefault="001B342D">
          <w:pPr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Público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1714AF8" w14:textId="77777777" w:rsidR="00CE6AA6" w:rsidRDefault="00CE6AA6">
          <w:pPr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fldChar w:fldCharType="begin"/>
          </w:r>
          <w:r>
            <w:rPr>
              <w:rFonts w:ascii="Arial" w:hAnsi="Arial" w:cs="Arial"/>
              <w:sz w:val="22"/>
            </w:rPr>
            <w:instrText xml:space="preserve"> PAGE  \* Arabic  \* MERGEFORMAT </w:instrText>
          </w:r>
          <w:r>
            <w:rPr>
              <w:rFonts w:ascii="Arial" w:hAnsi="Arial" w:cs="Arial"/>
              <w:sz w:val="22"/>
            </w:rPr>
            <w:fldChar w:fldCharType="separate"/>
          </w:r>
          <w:r w:rsidR="00605D63">
            <w:rPr>
              <w:rFonts w:ascii="Arial" w:hAnsi="Arial" w:cs="Arial"/>
              <w:noProof/>
              <w:sz w:val="22"/>
            </w:rPr>
            <w:t>1</w:t>
          </w:r>
          <w:r>
            <w:rPr>
              <w:rFonts w:ascii="Arial" w:hAnsi="Arial" w:cs="Arial"/>
              <w:sz w:val="22"/>
            </w:rPr>
            <w:fldChar w:fldCharType="end"/>
          </w:r>
          <w:r>
            <w:rPr>
              <w:rFonts w:ascii="Arial" w:hAnsi="Arial" w:cs="Arial"/>
              <w:sz w:val="22"/>
            </w:rPr>
            <w:t xml:space="preserve"> de </w:t>
          </w:r>
          <w:r>
            <w:rPr>
              <w:rFonts w:ascii="Arial" w:hAnsi="Arial" w:cs="Arial"/>
              <w:sz w:val="22"/>
            </w:rPr>
            <w:fldChar w:fldCharType="begin"/>
          </w:r>
          <w:r>
            <w:rPr>
              <w:rFonts w:ascii="Arial" w:hAnsi="Arial" w:cs="Arial"/>
              <w:sz w:val="22"/>
            </w:rPr>
            <w:instrText xml:space="preserve"> NUMPAGES  \* Arabic  \* MERGEFORMAT </w:instrText>
          </w:r>
          <w:r>
            <w:rPr>
              <w:rFonts w:ascii="Arial" w:hAnsi="Arial" w:cs="Arial"/>
              <w:sz w:val="22"/>
            </w:rPr>
            <w:fldChar w:fldCharType="separate"/>
          </w:r>
          <w:r w:rsidR="00605D63">
            <w:rPr>
              <w:rFonts w:ascii="Arial" w:hAnsi="Arial" w:cs="Arial"/>
              <w:noProof/>
              <w:sz w:val="22"/>
            </w:rPr>
            <w:t>4</w:t>
          </w:r>
          <w:r>
            <w:rPr>
              <w:rFonts w:ascii="Arial" w:hAnsi="Arial" w:cs="Arial"/>
              <w:sz w:val="22"/>
            </w:rPr>
            <w:fldChar w:fldCharType="end"/>
          </w:r>
        </w:p>
      </w:tc>
    </w:tr>
  </w:tbl>
  <w:p w14:paraId="5DD6FEE5" w14:textId="2D6B7028" w:rsidR="00CE6AA6" w:rsidRDefault="00786D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81883D" wp14:editId="5A9551A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290175" cy="561975"/>
              <wp:effectExtent l="2759075" t="0" r="2708275" b="0"/>
              <wp:wrapNone/>
              <wp:docPr id="745609961" name="WordAr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3355009">
                        <a:off x="0" y="0"/>
                        <a:ext cx="10290175" cy="5619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D471929" w14:textId="77777777" w:rsidR="00786DC5" w:rsidRDefault="00786DC5" w:rsidP="00786DC5">
                          <w:pPr>
                            <w:jc w:val="center"/>
                            <w:rPr>
                              <w:rFonts w:ascii="Verdana" w:eastAsia="Verdana" w:hAnsi="Verdana"/>
                              <w:b/>
                              <w:bCs/>
                              <w:color w:val="EAEAE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eastAsia="Verdana" w:hAnsi="Verdana"/>
                              <w:b/>
                              <w:bCs/>
                              <w:color w:val="EAEAEA"/>
                              <w:sz w:val="72"/>
                              <w:szCs w:val="72"/>
                            </w:rPr>
                            <w:t>Copias impresas no son autorizadas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1883D" id="_x0000_t202" coordsize="21600,21600" o:spt="202" path="m,l,21600r21600,l21600,xe">
              <v:stroke joinstyle="miter"/>
              <v:path gradientshapeok="t" o:connecttype="rect"/>
            </v:shapetype>
            <v:shape id="WordArt 13" o:spid="_x0000_s1026" type="#_x0000_t202" style="position:absolute;margin-left:0;margin-top:0;width:810.25pt;height:44.25pt;rotation:-3664564fd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" filled="f" stroked="f">
              <v:stroke joinstyle="round"/>
              <o:lock v:ext="edit" shapetype="t"/>
              <v:textbox style="mso-fit-shape-to-text:t">
                <w:txbxContent>
                  <w:p w14:paraId="2D471929" w14:textId="77777777" w:rsidR="00786DC5" w:rsidRDefault="00786DC5" w:rsidP="00786DC5">
                    <w:pPr>
                      <w:jc w:val="center"/>
                      <w:rPr>
                        <w:rFonts w:ascii="Verdana" w:eastAsia="Verdana" w:hAnsi="Verdana"/>
                        <w:b/>
                        <w:bCs/>
                        <w:color w:val="EAEAEA"/>
                        <w:sz w:val="72"/>
                        <w:szCs w:val="72"/>
                      </w:rPr>
                    </w:pPr>
                    <w:r>
                      <w:rPr>
                        <w:rFonts w:ascii="Verdana" w:eastAsia="Verdana" w:hAnsi="Verdana"/>
                        <w:b/>
                        <w:bCs/>
                        <w:color w:val="EAEAEA"/>
                        <w:sz w:val="72"/>
                        <w:szCs w:val="72"/>
                      </w:rPr>
                      <w:t>Copias impresas no son autorizadas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631F"/>
    <w:multiLevelType w:val="hybridMultilevel"/>
    <w:tmpl w:val="C02831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9C1BF5"/>
    <w:multiLevelType w:val="hybridMultilevel"/>
    <w:tmpl w:val="E348BE8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DB5FD8"/>
    <w:multiLevelType w:val="hybridMultilevel"/>
    <w:tmpl w:val="F42AB7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B6AA6"/>
    <w:multiLevelType w:val="hybridMultilevel"/>
    <w:tmpl w:val="98C669B8"/>
    <w:lvl w:ilvl="0" w:tplc="1F2A0DCE">
      <w:start w:val="1"/>
      <w:numFmt w:val="bullet"/>
      <w:lvlText w:val="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B1F32"/>
    <w:multiLevelType w:val="hybridMultilevel"/>
    <w:tmpl w:val="D6029E48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A3373C1"/>
    <w:multiLevelType w:val="hybridMultilevel"/>
    <w:tmpl w:val="1A50C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C0025"/>
    <w:multiLevelType w:val="hybridMultilevel"/>
    <w:tmpl w:val="7AFEC8C4"/>
    <w:lvl w:ilvl="0" w:tplc="1F2A0DCE">
      <w:start w:val="1"/>
      <w:numFmt w:val="bullet"/>
      <w:lvlText w:val=""/>
      <w:lvlJc w:val="left"/>
      <w:pPr>
        <w:tabs>
          <w:tab w:val="num" w:pos="807"/>
        </w:tabs>
        <w:ind w:left="807" w:hanging="397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37AA1"/>
    <w:multiLevelType w:val="hybridMultilevel"/>
    <w:tmpl w:val="889A18A2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26A0206"/>
    <w:multiLevelType w:val="hybridMultilevel"/>
    <w:tmpl w:val="98C669B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D322B"/>
    <w:multiLevelType w:val="hybridMultilevel"/>
    <w:tmpl w:val="A11087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84FFF"/>
    <w:multiLevelType w:val="hybridMultilevel"/>
    <w:tmpl w:val="5192AA60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15470A8"/>
    <w:multiLevelType w:val="hybridMultilevel"/>
    <w:tmpl w:val="4BEE3B3E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E7B0B1E"/>
    <w:multiLevelType w:val="multilevel"/>
    <w:tmpl w:val="BF6401FE"/>
    <w:lvl w:ilvl="0">
      <w:start w:val="1"/>
      <w:numFmt w:val="decimal"/>
      <w:pStyle w:val="Ttulo1"/>
      <w:lvlText w:val="%1."/>
      <w:lvlJc w:val="left"/>
      <w:pPr>
        <w:tabs>
          <w:tab w:val="num" w:pos="1424"/>
        </w:tabs>
        <w:ind w:left="1424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712"/>
        </w:tabs>
        <w:ind w:left="1568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2072"/>
        </w:tabs>
        <w:ind w:left="1712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num w:numId="1" w16cid:durableId="905721519">
    <w:abstractNumId w:val="0"/>
  </w:num>
  <w:num w:numId="2" w16cid:durableId="214977274">
    <w:abstractNumId w:val="12"/>
  </w:num>
  <w:num w:numId="3" w16cid:durableId="182136818">
    <w:abstractNumId w:val="12"/>
  </w:num>
  <w:num w:numId="4" w16cid:durableId="396174438">
    <w:abstractNumId w:val="12"/>
  </w:num>
  <w:num w:numId="5" w16cid:durableId="560139823">
    <w:abstractNumId w:val="12"/>
  </w:num>
  <w:num w:numId="6" w16cid:durableId="1634216894">
    <w:abstractNumId w:val="12"/>
  </w:num>
  <w:num w:numId="7" w16cid:durableId="1373725529">
    <w:abstractNumId w:val="12"/>
  </w:num>
  <w:num w:numId="8" w16cid:durableId="529731929">
    <w:abstractNumId w:val="12"/>
  </w:num>
  <w:num w:numId="9" w16cid:durableId="783377800">
    <w:abstractNumId w:val="12"/>
  </w:num>
  <w:num w:numId="10" w16cid:durableId="1450785400">
    <w:abstractNumId w:val="12"/>
  </w:num>
  <w:num w:numId="11" w16cid:durableId="1120684622">
    <w:abstractNumId w:val="8"/>
  </w:num>
  <w:num w:numId="12" w16cid:durableId="1480852272">
    <w:abstractNumId w:val="3"/>
  </w:num>
  <w:num w:numId="13" w16cid:durableId="90123861">
    <w:abstractNumId w:val="6"/>
  </w:num>
  <w:num w:numId="14" w16cid:durableId="1002658235">
    <w:abstractNumId w:val="9"/>
  </w:num>
  <w:num w:numId="15" w16cid:durableId="876313622">
    <w:abstractNumId w:val="2"/>
  </w:num>
  <w:num w:numId="16" w16cid:durableId="465272181">
    <w:abstractNumId w:val="12"/>
  </w:num>
  <w:num w:numId="17" w16cid:durableId="1282109717">
    <w:abstractNumId w:val="12"/>
  </w:num>
  <w:num w:numId="18" w16cid:durableId="2094206030">
    <w:abstractNumId w:val="12"/>
  </w:num>
  <w:num w:numId="19" w16cid:durableId="1320109490">
    <w:abstractNumId w:val="12"/>
  </w:num>
  <w:num w:numId="20" w16cid:durableId="2055962035">
    <w:abstractNumId w:val="12"/>
  </w:num>
  <w:num w:numId="21" w16cid:durableId="302586484">
    <w:abstractNumId w:val="12"/>
  </w:num>
  <w:num w:numId="22" w16cid:durableId="2122914521">
    <w:abstractNumId w:val="12"/>
  </w:num>
  <w:num w:numId="23" w16cid:durableId="478545019">
    <w:abstractNumId w:val="10"/>
  </w:num>
  <w:num w:numId="24" w16cid:durableId="231157084">
    <w:abstractNumId w:val="12"/>
  </w:num>
  <w:num w:numId="25" w16cid:durableId="1439566603">
    <w:abstractNumId w:val="11"/>
  </w:num>
  <w:num w:numId="26" w16cid:durableId="1699621888">
    <w:abstractNumId w:val="4"/>
  </w:num>
  <w:num w:numId="27" w16cid:durableId="661738868">
    <w:abstractNumId w:val="7"/>
  </w:num>
  <w:num w:numId="28" w16cid:durableId="160588140">
    <w:abstractNumId w:val="5"/>
  </w:num>
  <w:num w:numId="29" w16cid:durableId="75301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5A"/>
    <w:rsid w:val="00035FD4"/>
    <w:rsid w:val="00057577"/>
    <w:rsid w:val="00073C5F"/>
    <w:rsid w:val="000D56F8"/>
    <w:rsid w:val="000F01E3"/>
    <w:rsid w:val="000F4BC8"/>
    <w:rsid w:val="00104379"/>
    <w:rsid w:val="00111E96"/>
    <w:rsid w:val="00131E6B"/>
    <w:rsid w:val="001524B2"/>
    <w:rsid w:val="00153104"/>
    <w:rsid w:val="00154237"/>
    <w:rsid w:val="001623B0"/>
    <w:rsid w:val="0017104D"/>
    <w:rsid w:val="00173398"/>
    <w:rsid w:val="00197FA6"/>
    <w:rsid w:val="001B342D"/>
    <w:rsid w:val="001C1D79"/>
    <w:rsid w:val="001C7B19"/>
    <w:rsid w:val="001E6A28"/>
    <w:rsid w:val="001F2018"/>
    <w:rsid w:val="001F20BD"/>
    <w:rsid w:val="001F37D6"/>
    <w:rsid w:val="002615BD"/>
    <w:rsid w:val="00276078"/>
    <w:rsid w:val="00283E75"/>
    <w:rsid w:val="002D46AE"/>
    <w:rsid w:val="002D5D6C"/>
    <w:rsid w:val="002F63FA"/>
    <w:rsid w:val="00320FF6"/>
    <w:rsid w:val="003308EF"/>
    <w:rsid w:val="0034221A"/>
    <w:rsid w:val="003A25A9"/>
    <w:rsid w:val="003B7A37"/>
    <w:rsid w:val="003D7477"/>
    <w:rsid w:val="003E2FD4"/>
    <w:rsid w:val="003F2003"/>
    <w:rsid w:val="0040432C"/>
    <w:rsid w:val="004274BE"/>
    <w:rsid w:val="00430E7E"/>
    <w:rsid w:val="00434292"/>
    <w:rsid w:val="0044741B"/>
    <w:rsid w:val="00474885"/>
    <w:rsid w:val="004A77B5"/>
    <w:rsid w:val="004B00DF"/>
    <w:rsid w:val="004B3932"/>
    <w:rsid w:val="004F7800"/>
    <w:rsid w:val="00505769"/>
    <w:rsid w:val="005146CC"/>
    <w:rsid w:val="00530C04"/>
    <w:rsid w:val="0056366F"/>
    <w:rsid w:val="00582D0D"/>
    <w:rsid w:val="005A6367"/>
    <w:rsid w:val="005A6B44"/>
    <w:rsid w:val="005B4C88"/>
    <w:rsid w:val="005D2A21"/>
    <w:rsid w:val="00605D63"/>
    <w:rsid w:val="006308D3"/>
    <w:rsid w:val="00647CB6"/>
    <w:rsid w:val="006C1B1A"/>
    <w:rsid w:val="006D10FB"/>
    <w:rsid w:val="006F5D8C"/>
    <w:rsid w:val="00703C5E"/>
    <w:rsid w:val="00714F95"/>
    <w:rsid w:val="00755821"/>
    <w:rsid w:val="00786DC5"/>
    <w:rsid w:val="007873B5"/>
    <w:rsid w:val="007A5D05"/>
    <w:rsid w:val="007D02A9"/>
    <w:rsid w:val="007D26BA"/>
    <w:rsid w:val="007D2A37"/>
    <w:rsid w:val="007D46FE"/>
    <w:rsid w:val="007E35C0"/>
    <w:rsid w:val="007E5F5A"/>
    <w:rsid w:val="00807D7A"/>
    <w:rsid w:val="00836E3F"/>
    <w:rsid w:val="00851D87"/>
    <w:rsid w:val="00853507"/>
    <w:rsid w:val="00862394"/>
    <w:rsid w:val="008C1089"/>
    <w:rsid w:val="008E3C5E"/>
    <w:rsid w:val="008F2A2A"/>
    <w:rsid w:val="00922420"/>
    <w:rsid w:val="00922556"/>
    <w:rsid w:val="00946D84"/>
    <w:rsid w:val="00951EA8"/>
    <w:rsid w:val="009D50D1"/>
    <w:rsid w:val="009F4EFD"/>
    <w:rsid w:val="00A13F6E"/>
    <w:rsid w:val="00A360E5"/>
    <w:rsid w:val="00A445BD"/>
    <w:rsid w:val="00A47751"/>
    <w:rsid w:val="00A6479B"/>
    <w:rsid w:val="00A665B8"/>
    <w:rsid w:val="00AB4624"/>
    <w:rsid w:val="00AC22AF"/>
    <w:rsid w:val="00AC2B39"/>
    <w:rsid w:val="00AF75FA"/>
    <w:rsid w:val="00B053CC"/>
    <w:rsid w:val="00B1750D"/>
    <w:rsid w:val="00B33B0B"/>
    <w:rsid w:val="00B44496"/>
    <w:rsid w:val="00B60ED9"/>
    <w:rsid w:val="00B62959"/>
    <w:rsid w:val="00B9315F"/>
    <w:rsid w:val="00BF2B09"/>
    <w:rsid w:val="00BF7582"/>
    <w:rsid w:val="00C07AFE"/>
    <w:rsid w:val="00C14E36"/>
    <w:rsid w:val="00C31C0B"/>
    <w:rsid w:val="00C51CD8"/>
    <w:rsid w:val="00CC7883"/>
    <w:rsid w:val="00CE4923"/>
    <w:rsid w:val="00CE6AA6"/>
    <w:rsid w:val="00D32FBD"/>
    <w:rsid w:val="00D41DCA"/>
    <w:rsid w:val="00D54A87"/>
    <w:rsid w:val="00D72A93"/>
    <w:rsid w:val="00D756DC"/>
    <w:rsid w:val="00DA30B1"/>
    <w:rsid w:val="00DE697A"/>
    <w:rsid w:val="00DF34E5"/>
    <w:rsid w:val="00DF7918"/>
    <w:rsid w:val="00DF7B14"/>
    <w:rsid w:val="00E177A5"/>
    <w:rsid w:val="00E27516"/>
    <w:rsid w:val="00E338AB"/>
    <w:rsid w:val="00E40FE0"/>
    <w:rsid w:val="00E5449A"/>
    <w:rsid w:val="00EB41D0"/>
    <w:rsid w:val="00ED3919"/>
    <w:rsid w:val="00EF09D6"/>
    <w:rsid w:val="00F16E27"/>
    <w:rsid w:val="00F229FE"/>
    <w:rsid w:val="00F25BBA"/>
    <w:rsid w:val="00F41E54"/>
    <w:rsid w:val="00F46A46"/>
    <w:rsid w:val="00FC3026"/>
    <w:rsid w:val="00FC7F4A"/>
    <w:rsid w:val="00FE46B8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60A87F57"/>
  <w15:chartTrackingRefBased/>
  <w15:docId w15:val="{4541DB7E-4769-4DB4-B9DA-855DE05C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CL" w:eastAsia="pt-BR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tabs>
        <w:tab w:val="left" w:pos="958"/>
      </w:tabs>
      <w:spacing w:after="120" w:line="360" w:lineRule="auto"/>
      <w:outlineLvl w:val="0"/>
    </w:pPr>
    <w:rPr>
      <w:rFonts w:ascii="Verdana" w:hAnsi="Verdana"/>
      <w:b/>
      <w:bCs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890"/>
      </w:tabs>
      <w:spacing w:before="120" w:after="60" w:line="360" w:lineRule="auto"/>
      <w:outlineLvl w:val="1"/>
    </w:pPr>
    <w:rPr>
      <w:rFonts w:ascii="Verdana" w:hAnsi="Verdana" w:cs="Arial"/>
      <w:b/>
      <w:bCs/>
      <w:iCs/>
      <w:sz w:val="22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2072"/>
        <w:tab w:val="left" w:pos="1967"/>
      </w:tabs>
      <w:spacing w:before="120" w:after="60" w:line="360" w:lineRule="auto"/>
      <w:ind w:left="1967" w:hanging="958"/>
      <w:outlineLvl w:val="2"/>
    </w:pPr>
    <w:rPr>
      <w:rFonts w:ascii="Verdana" w:hAnsi="Verdana" w:cs="Arial"/>
      <w:b/>
      <w:bCs/>
      <w:sz w:val="20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umrio4">
    <w:name w:val="toc 4"/>
    <w:basedOn w:val="Normal"/>
    <w:next w:val="Normal"/>
    <w:autoRedefine/>
    <w:semiHidden/>
    <w:pPr>
      <w:ind w:left="720"/>
    </w:pPr>
  </w:style>
  <w:style w:type="paragraph" w:styleId="Sumrio1">
    <w:name w:val="toc 1"/>
    <w:basedOn w:val="Normal"/>
    <w:next w:val="Normal"/>
    <w:autoRedefine/>
    <w:uiPriority w:val="39"/>
    <w:pPr>
      <w:spacing w:line="360" w:lineRule="auto"/>
    </w:pPr>
    <w:rPr>
      <w:rFonts w:ascii="Arial" w:hAnsi="Arial"/>
      <w:b/>
    </w:rPr>
  </w:style>
  <w:style w:type="paragraph" w:styleId="Sumrio2">
    <w:name w:val="toc 2"/>
    <w:basedOn w:val="Normal"/>
    <w:next w:val="Normal"/>
    <w:autoRedefine/>
    <w:uiPriority w:val="39"/>
    <w:rsid w:val="004B00DF"/>
    <w:pPr>
      <w:tabs>
        <w:tab w:val="right" w:leader="dot" w:pos="10195"/>
      </w:tabs>
      <w:spacing w:line="360" w:lineRule="auto"/>
      <w:ind w:firstLine="426"/>
    </w:pPr>
    <w:rPr>
      <w:rFonts w:ascii="Arial" w:hAnsi="Arial"/>
      <w:i/>
      <w:sz w:val="22"/>
    </w:rPr>
  </w:style>
  <w:style w:type="paragraph" w:styleId="Sumrio3">
    <w:name w:val="toc 3"/>
    <w:basedOn w:val="Normal"/>
    <w:next w:val="Normal"/>
    <w:autoRedefine/>
    <w:uiPriority w:val="39"/>
    <w:pPr>
      <w:spacing w:line="360" w:lineRule="auto"/>
      <w:ind w:left="482"/>
    </w:pPr>
    <w:rPr>
      <w:rFonts w:ascii="Arial" w:hAnsi="Arial"/>
      <w:sz w:val="20"/>
    </w:rPr>
  </w:style>
  <w:style w:type="paragraph" w:styleId="Sumrio5">
    <w:name w:val="toc 5"/>
    <w:basedOn w:val="Normal"/>
    <w:next w:val="Normal"/>
    <w:autoRedefine/>
    <w:semiHidden/>
    <w:pPr>
      <w:ind w:left="960"/>
    </w:pPr>
  </w:style>
  <w:style w:type="paragraph" w:styleId="Sumrio6">
    <w:name w:val="toc 6"/>
    <w:basedOn w:val="Normal"/>
    <w:next w:val="Normal"/>
    <w:autoRedefine/>
    <w:semiHidden/>
    <w:pPr>
      <w:ind w:left="1200"/>
    </w:pPr>
  </w:style>
  <w:style w:type="paragraph" w:styleId="Sumrio7">
    <w:name w:val="toc 7"/>
    <w:basedOn w:val="Normal"/>
    <w:next w:val="Normal"/>
    <w:autoRedefine/>
    <w:semiHidden/>
    <w:pPr>
      <w:ind w:left="1440"/>
    </w:pPr>
  </w:style>
  <w:style w:type="paragraph" w:styleId="Sumrio8">
    <w:name w:val="toc 8"/>
    <w:basedOn w:val="Normal"/>
    <w:next w:val="Normal"/>
    <w:autoRedefine/>
    <w:semiHidden/>
    <w:pPr>
      <w:ind w:left="1680"/>
    </w:pPr>
  </w:style>
  <w:style w:type="paragraph" w:styleId="Sumrio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st1">
    <w:name w:val="st1"/>
    <w:basedOn w:val="Fontepargpadro"/>
    <w:rsid w:val="00DF7B14"/>
  </w:style>
  <w:style w:type="paragraph" w:customStyle="1" w:styleId="OGPRC">
    <w:name w:val="OGPRC"/>
    <w:basedOn w:val="Normal"/>
    <w:pPr>
      <w:spacing w:before="60" w:after="60" w:line="360" w:lineRule="auto"/>
    </w:pPr>
    <w:rPr>
      <w:rFonts w:ascii="Verdana" w:hAnsi="Verdana"/>
      <w:sz w:val="20"/>
    </w:rPr>
  </w:style>
  <w:style w:type="paragraph" w:styleId="Textodebalo">
    <w:name w:val="Balloon Text"/>
    <w:basedOn w:val="Normal"/>
    <w:link w:val="TextodebaloChar"/>
    <w:rsid w:val="001C7B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C7B19"/>
    <w:rPr>
      <w:rFonts w:ascii="Segoe UI" w:hAnsi="Segoe UI" w:cs="Segoe UI"/>
      <w:sz w:val="18"/>
      <w:szCs w:val="18"/>
      <w:lang w:val="es-CL"/>
    </w:rPr>
  </w:style>
  <w:style w:type="character" w:customStyle="1" w:styleId="text">
    <w:name w:val="text"/>
    <w:rsid w:val="00D32FBD"/>
  </w:style>
  <w:style w:type="paragraph" w:styleId="Pr-formataoHTML">
    <w:name w:val="HTML Preformatted"/>
    <w:basedOn w:val="Normal"/>
    <w:link w:val="Pr-formataoHTMLChar"/>
    <w:uiPriority w:val="99"/>
    <w:unhideWhenUsed/>
    <w:rsid w:val="009D5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/>
    </w:rPr>
  </w:style>
  <w:style w:type="character" w:customStyle="1" w:styleId="Pr-formataoHTMLChar">
    <w:name w:val="Pré-formatação HTML Char"/>
    <w:link w:val="Pr-formataoHTML"/>
    <w:uiPriority w:val="99"/>
    <w:rsid w:val="009D50D1"/>
    <w:rPr>
      <w:rFonts w:ascii="Courier New" w:hAnsi="Courier New" w:cs="Courier New"/>
    </w:rPr>
  </w:style>
  <w:style w:type="character" w:customStyle="1" w:styleId="ui-provider">
    <w:name w:val="ui-provider"/>
    <w:basedOn w:val="Fontepargpadro"/>
    <w:rsid w:val="00D72A93"/>
  </w:style>
  <w:style w:type="character" w:styleId="MenoPendente">
    <w:name w:val="Unresolved Mention"/>
    <w:uiPriority w:val="99"/>
    <w:semiHidden/>
    <w:unhideWhenUsed/>
    <w:rsid w:val="00A6479B"/>
    <w:rPr>
      <w:color w:val="605E5C"/>
      <w:shd w:val="clear" w:color="auto" w:fill="E1DFDD"/>
    </w:rPr>
  </w:style>
  <w:style w:type="character" w:styleId="Refdecomentrio">
    <w:name w:val="annotation reference"/>
    <w:rsid w:val="00703C5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03C5E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703C5E"/>
    <w:rPr>
      <w:lang w:val="es-CL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03C5E"/>
    <w:rPr>
      <w:b/>
      <w:bCs/>
    </w:rPr>
  </w:style>
  <w:style w:type="character" w:customStyle="1" w:styleId="AssuntodocomentrioChar">
    <w:name w:val="Assunto do comentário Char"/>
    <w:link w:val="Assuntodocomentrio"/>
    <w:rsid w:val="00703C5E"/>
    <w:rPr>
      <w:b/>
      <w:bCs/>
      <w:lang w:val="es-CL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DEB1-CFA7-4BD1-9FC7-CEA950D2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7078</CharactersWithSpaces>
  <SharedDoc>false</SharedDoc>
  <HLinks>
    <vt:vector size="54" baseType="variant"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_Toc498096863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_Toc498096862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_Toc498096861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_Toc498096860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_Toc498096859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_Toc498096858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_Toc498096857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_Toc498096856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_Toc498096855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Robinson Moreira;nathaly.jeri@tivit.com</dc:creator>
  <cp:keywords/>
  <cp:lastModifiedBy>Ericarmem Guesser Pauli</cp:lastModifiedBy>
  <cp:revision>3</cp:revision>
  <cp:lastPrinted>2017-10-27T19:31:00Z</cp:lastPrinted>
  <dcterms:created xsi:type="dcterms:W3CDTF">2023-12-05T14:50:00Z</dcterms:created>
  <dcterms:modified xsi:type="dcterms:W3CDTF">2023-12-05T17:18:00Z</dcterms:modified>
</cp:coreProperties>
</file>